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73D4016D" w14:textId="7B5B2346" w:rsidR="005E4230" w:rsidRDefault="00DC4C91" w:rsidP="00AB11E7">
      <w:pPr>
        <w:pStyle w:val="ListParagraph"/>
        <w:numPr>
          <w:ilvl w:val="0"/>
          <w:numId w:val="1"/>
        </w:numPr>
        <w:spacing w:after="0"/>
      </w:pPr>
      <w:r>
        <w:t>Working group n</w:t>
      </w:r>
      <w:r w:rsidR="000B01A4" w:rsidRPr="003110FB">
        <w:t>ame:</w:t>
      </w:r>
    </w:p>
    <w:p w14:paraId="6D5E2A8F" w14:textId="77777777" w:rsidR="002F5BE6" w:rsidRDefault="002F5BE6" w:rsidP="002F5BE6">
      <w:pPr>
        <w:pStyle w:val="ListParagraph"/>
        <w:spacing w:after="0"/>
      </w:pPr>
    </w:p>
    <w:p w14:paraId="403A0A8A" w14:textId="72654184" w:rsidR="000B01A4" w:rsidRPr="005A73E4" w:rsidRDefault="0067592A" w:rsidP="00AB11E7">
      <w:pPr>
        <w:pStyle w:val="ListParagraph"/>
        <w:spacing w:after="0"/>
        <w:rPr>
          <w:i/>
          <w:color w:val="2E74B5" w:themeColor="accent1" w:themeShade="BF"/>
        </w:rPr>
      </w:pPr>
      <w:r w:rsidRPr="005A73E4">
        <w:rPr>
          <w:i/>
          <w:color w:val="2E74B5" w:themeColor="accent1" w:themeShade="BF"/>
        </w:rPr>
        <w:t>Cultivation</w:t>
      </w:r>
      <w:r w:rsidR="005E4230" w:rsidRPr="005A73E4">
        <w:rPr>
          <w:i/>
          <w:color w:val="2E74B5" w:themeColor="accent1" w:themeShade="BF"/>
        </w:rPr>
        <w:t xml:space="preserve"> Working Group</w:t>
      </w:r>
    </w:p>
    <w:p w14:paraId="318F665B" w14:textId="77777777" w:rsidR="00AB11E7" w:rsidRPr="00AB11E7" w:rsidRDefault="00AB11E7" w:rsidP="00AB11E7">
      <w:pPr>
        <w:pStyle w:val="ListParagraph"/>
        <w:spacing w:after="0"/>
        <w:rPr>
          <w:i/>
          <w:color w:val="0070C0"/>
        </w:rPr>
      </w:pPr>
    </w:p>
    <w:p w14:paraId="2DF7D040" w14:textId="32C396F4" w:rsidR="000B01A4" w:rsidRDefault="00DC4C91" w:rsidP="000B01A4">
      <w:pPr>
        <w:pStyle w:val="ListParagraph"/>
        <w:numPr>
          <w:ilvl w:val="0"/>
          <w:numId w:val="1"/>
        </w:numPr>
        <w:spacing w:after="0"/>
      </w:pPr>
      <w:r>
        <w:t>Individual s</w:t>
      </w:r>
      <w:r w:rsidR="007746E2" w:rsidRPr="003110FB">
        <w:t xml:space="preserve">ponsor(s): </w:t>
      </w:r>
    </w:p>
    <w:p w14:paraId="40F76157" w14:textId="77777777" w:rsidR="002F5BE6" w:rsidRDefault="002F5BE6" w:rsidP="005E4230">
      <w:pPr>
        <w:spacing w:after="0"/>
        <w:ind w:left="720"/>
        <w:rPr>
          <w:i/>
          <w:color w:val="2E74B5" w:themeColor="accent1" w:themeShade="BF"/>
        </w:rPr>
      </w:pPr>
    </w:p>
    <w:p w14:paraId="2D348460" w14:textId="77777777" w:rsidR="005E4230" w:rsidRPr="005A73E4" w:rsidRDefault="005E4230" w:rsidP="005E4230">
      <w:pPr>
        <w:spacing w:after="0"/>
        <w:ind w:left="720"/>
        <w:rPr>
          <w:i/>
          <w:color w:val="2E74B5" w:themeColor="accent1" w:themeShade="BF"/>
        </w:rPr>
      </w:pPr>
      <w:r w:rsidRPr="005A73E4">
        <w:rPr>
          <w:i/>
          <w:color w:val="2E74B5" w:themeColor="accent1" w:themeShade="BF"/>
        </w:rPr>
        <w:t xml:space="preserve">Lynn </w:t>
      </w:r>
      <w:proofErr w:type="spellStart"/>
      <w:r w:rsidRPr="005A73E4">
        <w:rPr>
          <w:i/>
          <w:color w:val="2E74B5" w:themeColor="accent1" w:themeShade="BF"/>
        </w:rPr>
        <w:t>Hettrick</w:t>
      </w:r>
      <w:proofErr w:type="spellEnd"/>
      <w:r w:rsidRPr="005A73E4">
        <w:rPr>
          <w:i/>
          <w:color w:val="2E74B5" w:themeColor="accent1" w:themeShade="BF"/>
        </w:rPr>
        <w:t xml:space="preserve"> – Division Administrator - Nevada Department of Agriculture</w:t>
      </w:r>
    </w:p>
    <w:p w14:paraId="7D5CC582" w14:textId="3CB92444" w:rsidR="005E4230" w:rsidRPr="005A73E4" w:rsidRDefault="005E4230" w:rsidP="005E4230">
      <w:pPr>
        <w:spacing w:after="0"/>
        <w:ind w:left="720"/>
        <w:rPr>
          <w:i/>
          <w:color w:val="2E74B5" w:themeColor="accent1" w:themeShade="BF"/>
        </w:rPr>
      </w:pPr>
      <w:r w:rsidRPr="005A73E4">
        <w:rPr>
          <w:i/>
          <w:color w:val="2E74B5" w:themeColor="accent1" w:themeShade="BF"/>
        </w:rPr>
        <w:t xml:space="preserve">Tessa Rognier – Agriculturist III - Nevada Department of Agriculture </w:t>
      </w:r>
    </w:p>
    <w:p w14:paraId="16FCE777" w14:textId="77777777" w:rsidR="000B01A4" w:rsidRPr="003110FB" w:rsidRDefault="000B01A4" w:rsidP="000B01A4">
      <w:pPr>
        <w:spacing w:after="0"/>
      </w:pPr>
    </w:p>
    <w:p w14:paraId="25B12C42" w14:textId="31866780" w:rsidR="005E4230" w:rsidRDefault="00DC4C91" w:rsidP="005A73E4">
      <w:pPr>
        <w:pStyle w:val="ListParagraph"/>
        <w:numPr>
          <w:ilvl w:val="0"/>
          <w:numId w:val="1"/>
        </w:numPr>
        <w:spacing w:after="0"/>
      </w:pPr>
      <w:r>
        <w:t>Describe the r</w:t>
      </w:r>
      <w:r w:rsidR="000B01A4" w:rsidRPr="003110FB">
        <w:t>ecommendation:</w:t>
      </w:r>
      <w:r w:rsidR="0067592A">
        <w:t xml:space="preserve"> </w:t>
      </w:r>
    </w:p>
    <w:p w14:paraId="509395A0" w14:textId="77777777" w:rsidR="002F5BE6" w:rsidRDefault="002F5BE6" w:rsidP="002F5BE6">
      <w:pPr>
        <w:pStyle w:val="ListParagraph"/>
        <w:spacing w:after="0"/>
      </w:pPr>
    </w:p>
    <w:p w14:paraId="4A3730F6" w14:textId="52EC7B90" w:rsidR="00E9081E" w:rsidRPr="005A73E4" w:rsidRDefault="0067592A" w:rsidP="002F5BE6">
      <w:pPr>
        <w:ind w:left="720"/>
        <w:jc w:val="both"/>
        <w:rPr>
          <w:i/>
          <w:color w:val="2E74B5" w:themeColor="accent1" w:themeShade="BF"/>
        </w:rPr>
      </w:pPr>
      <w:r w:rsidRPr="005A73E4">
        <w:rPr>
          <w:i/>
          <w:color w:val="2E74B5" w:themeColor="accent1" w:themeShade="BF"/>
        </w:rPr>
        <w:t xml:space="preserve">The recommendation is to establish for </w:t>
      </w:r>
      <w:r w:rsidR="00777932" w:rsidRPr="005A73E4">
        <w:rPr>
          <w:i/>
          <w:color w:val="2E74B5" w:themeColor="accent1" w:themeShade="BF"/>
        </w:rPr>
        <w:t>compliance with Pesticide Worker Protection Standards</w:t>
      </w:r>
      <w:r w:rsidR="00462786" w:rsidRPr="005A73E4">
        <w:rPr>
          <w:i/>
          <w:color w:val="2E74B5" w:themeColor="accent1" w:themeShade="BF"/>
        </w:rPr>
        <w:t xml:space="preserve"> and </w:t>
      </w:r>
      <w:r w:rsidR="00196158" w:rsidRPr="005A73E4">
        <w:rPr>
          <w:i/>
          <w:color w:val="2E74B5" w:themeColor="accent1" w:themeShade="BF"/>
        </w:rPr>
        <w:t>Certification through Nevada Department of Agriculture (NDA) Pesticide Certification Program of at least one cultivation facility staff member in Commercial Greenhouse category for indoor cultivation and/or Commercial Agricultural Plant/Animal category for outdoor cultivation.</w:t>
      </w:r>
      <w:r w:rsidR="00E41DFB" w:rsidRPr="005A73E4">
        <w:rPr>
          <w:color w:val="2E74B5" w:themeColor="accent1" w:themeShade="BF"/>
        </w:rPr>
        <w:t xml:space="preserve">  </w:t>
      </w:r>
      <w:r w:rsidR="00E41DFB" w:rsidRPr="005A73E4">
        <w:rPr>
          <w:i/>
          <w:color w:val="2E74B5" w:themeColor="accent1" w:themeShade="BF"/>
        </w:rPr>
        <w:t>R</w:t>
      </w:r>
      <w:r w:rsidR="00EA782F" w:rsidRPr="005A73E4">
        <w:rPr>
          <w:i/>
          <w:color w:val="2E74B5" w:themeColor="accent1" w:themeShade="BF"/>
        </w:rPr>
        <w:t>andom and/or scheduled facility visits by NDA staff</w:t>
      </w:r>
      <w:r w:rsidR="00E41DFB" w:rsidRPr="005A73E4">
        <w:rPr>
          <w:i/>
          <w:color w:val="2E74B5" w:themeColor="accent1" w:themeShade="BF"/>
        </w:rPr>
        <w:t xml:space="preserve"> inspectors in conjunction with cultivation and pesticide consultations, </w:t>
      </w:r>
      <w:r w:rsidR="00EA782F" w:rsidRPr="005A73E4">
        <w:rPr>
          <w:i/>
          <w:color w:val="2E74B5" w:themeColor="accent1" w:themeShade="BF"/>
        </w:rPr>
        <w:t>quality assurance or for cause, such as a complaint.</w:t>
      </w:r>
      <w:r w:rsidR="00462786" w:rsidRPr="005A73E4">
        <w:rPr>
          <w:i/>
          <w:color w:val="2E74B5" w:themeColor="accent1" w:themeShade="BF"/>
        </w:rPr>
        <w:t xml:space="preserve">  </w:t>
      </w:r>
      <w:r w:rsidR="00311848" w:rsidRPr="005A73E4">
        <w:rPr>
          <w:i/>
          <w:color w:val="2E74B5" w:themeColor="accent1" w:themeShade="BF"/>
        </w:rPr>
        <w:t>These provisions are required by 40 CFR Part 170 Worker Protection Standard, and 40 CFR Part 150 to 180</w:t>
      </w:r>
      <w:r w:rsidR="00554796" w:rsidRPr="005A73E4">
        <w:rPr>
          <w:i/>
          <w:color w:val="2E74B5" w:themeColor="accent1" w:themeShade="BF"/>
        </w:rPr>
        <w:t xml:space="preserve"> Pesticide Programs</w:t>
      </w:r>
      <w:r w:rsidR="00311848" w:rsidRPr="005A73E4">
        <w:rPr>
          <w:i/>
          <w:color w:val="2E74B5" w:themeColor="accent1" w:themeShade="BF"/>
        </w:rPr>
        <w:t>.</w:t>
      </w: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84FE8DD" w14:textId="77777777" w:rsidR="005E4230" w:rsidRPr="005A73E4" w:rsidRDefault="005E4230" w:rsidP="005E4230">
      <w:pPr>
        <w:pStyle w:val="ListParagraph"/>
        <w:spacing w:after="0"/>
        <w:rPr>
          <w:color w:val="2E74B5" w:themeColor="accent1" w:themeShade="BF"/>
        </w:rPr>
      </w:pPr>
    </w:p>
    <w:p w14:paraId="2FFEFA58" w14:textId="31272A3F" w:rsidR="00E9081E" w:rsidRPr="005A73E4" w:rsidRDefault="005E4230" w:rsidP="005E4230">
      <w:pPr>
        <w:spacing w:after="0"/>
        <w:ind w:left="720"/>
        <w:jc w:val="both"/>
        <w:rPr>
          <w:i/>
          <w:color w:val="2E74B5" w:themeColor="accent1" w:themeShade="BF"/>
        </w:rPr>
      </w:pPr>
      <w:r w:rsidRPr="005A73E4">
        <w:rPr>
          <w:i/>
          <w:color w:val="2E74B5" w:themeColor="accent1" w:themeShade="BF"/>
        </w:rPr>
        <w:t xml:space="preserve">Guiding Principle </w:t>
      </w:r>
      <w:r w:rsidR="005043DB" w:rsidRPr="005A73E4">
        <w:rPr>
          <w:i/>
          <w:color w:val="2E74B5" w:themeColor="accent1" w:themeShade="BF"/>
        </w:rPr>
        <w:t>6</w:t>
      </w:r>
      <w:r w:rsidRPr="005A73E4">
        <w:rPr>
          <w:i/>
          <w:color w:val="2E74B5" w:themeColor="accent1" w:themeShade="BF"/>
        </w:rPr>
        <w:t xml:space="preserve"> </w:t>
      </w:r>
      <w:r w:rsidR="005043DB" w:rsidRPr="005A73E4">
        <w:rPr>
          <w:i/>
          <w:color w:val="2E74B5" w:themeColor="accent1" w:themeShade="BF"/>
        </w:rPr>
        <w:t>-</w:t>
      </w:r>
      <w:r w:rsidRPr="005A73E4">
        <w:rPr>
          <w:i/>
          <w:color w:val="2E74B5" w:themeColor="accent1" w:themeShade="BF"/>
        </w:rPr>
        <w:t xml:space="preserve"> </w:t>
      </w:r>
      <w:r w:rsidR="005043DB" w:rsidRPr="005A73E4">
        <w:rPr>
          <w:i/>
          <w:color w:val="2E74B5" w:themeColor="accent1" w:themeShade="BF"/>
        </w:rPr>
        <w:t>Establish regulations that are clear and practical, so that interactions between law enforcement, consumers, and licensees are predictable and understandable</w:t>
      </w:r>
    </w:p>
    <w:p w14:paraId="468C775F" w14:textId="77777777" w:rsidR="005E4230" w:rsidRPr="005E4230" w:rsidRDefault="005E4230" w:rsidP="005E4230">
      <w:pPr>
        <w:spacing w:after="0"/>
        <w:ind w:left="720"/>
        <w:jc w:val="both"/>
        <w:rPr>
          <w:i/>
          <w:color w:val="0070C0"/>
        </w:rPr>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7E9DC16B" w14:textId="77777777" w:rsidR="005E4230" w:rsidRPr="003110FB" w:rsidRDefault="005E4230" w:rsidP="005E4230">
      <w:pPr>
        <w:pStyle w:val="ListParagraph"/>
        <w:spacing w:after="0"/>
      </w:pPr>
    </w:p>
    <w:p w14:paraId="08968A22" w14:textId="1C778FC7" w:rsidR="00755B09" w:rsidRPr="002F5BE6" w:rsidRDefault="00755B09" w:rsidP="00755B09">
      <w:pPr>
        <w:pStyle w:val="ListParagraph"/>
        <w:spacing w:after="0"/>
        <w:jc w:val="both"/>
        <w:rPr>
          <w:i/>
          <w:color w:val="2E74B5" w:themeColor="accent1" w:themeShade="BF"/>
          <w:shd w:val="clear" w:color="auto" w:fill="FFFFFF"/>
        </w:rPr>
      </w:pPr>
      <w:r w:rsidRPr="002F5BE6">
        <w:rPr>
          <w:i/>
          <w:color w:val="2E74B5" w:themeColor="accent1" w:themeShade="BF"/>
        </w:rPr>
        <w:t>Section 13, Subsection 5:</w:t>
      </w:r>
      <w:r w:rsidR="005803ED" w:rsidRPr="002F5BE6">
        <w:rPr>
          <w:i/>
          <w:color w:val="2E74B5" w:themeColor="accent1" w:themeShade="BF"/>
        </w:rPr>
        <w:t xml:space="preserve"> </w:t>
      </w:r>
      <w:r w:rsidRPr="002F5BE6">
        <w:rPr>
          <w:color w:val="2E74B5" w:themeColor="accent1" w:themeShade="BF"/>
          <w:shd w:val="clear" w:color="auto" w:fill="FFFFFF"/>
        </w:rPr>
        <w:t> </w:t>
      </w:r>
      <w:r w:rsidRPr="002F5BE6">
        <w:rPr>
          <w:i/>
          <w:color w:val="2E74B5" w:themeColor="accent1" w:themeShade="BF"/>
          <w:shd w:val="clear" w:color="auto" w:fill="FFFFFF"/>
        </w:rPr>
        <w:t>A marijuana establishment is subject to reasonable inspection by the Department, and a person who holds a marijuana establishment license must make himself or herself, or an agent thereof, available and present for any inspection required by the Department. The Department shall make reasonable accommodations so that ordinary business is not interrupted and safety and security procedures are not compromised by the inspection.</w:t>
      </w:r>
    </w:p>
    <w:p w14:paraId="6EE4D826" w14:textId="77777777" w:rsidR="00755B09" w:rsidRDefault="00755B09" w:rsidP="00755B09">
      <w:pPr>
        <w:pStyle w:val="ListParagraph"/>
        <w:spacing w:after="0"/>
        <w:jc w:val="both"/>
      </w:pPr>
    </w:p>
    <w:p w14:paraId="527A1772" w14:textId="123DFB78" w:rsidR="007A4A8C" w:rsidRPr="00755B09" w:rsidRDefault="00E9081E" w:rsidP="00755B09">
      <w:pPr>
        <w:pStyle w:val="ListParagraph"/>
        <w:numPr>
          <w:ilvl w:val="0"/>
          <w:numId w:val="1"/>
        </w:numPr>
        <w:spacing w:after="0"/>
        <w:jc w:val="both"/>
        <w:rPr>
          <w:rFonts w:ascii="Helvetica" w:hAnsi="Helvetica"/>
          <w:color w:val="000000"/>
          <w:sz w:val="21"/>
          <w:szCs w:val="21"/>
          <w:shd w:val="clear" w:color="auto" w:fill="FFFFFF"/>
        </w:rPr>
      </w:pPr>
      <w:r w:rsidRPr="003110FB">
        <w:t>What issue(s) does the recommendation resolve?</w:t>
      </w:r>
    </w:p>
    <w:p w14:paraId="106BFA65" w14:textId="77777777" w:rsidR="005E4230" w:rsidRPr="003110FB" w:rsidRDefault="005E4230" w:rsidP="005E4230">
      <w:pPr>
        <w:pStyle w:val="ListParagraph"/>
        <w:spacing w:after="0"/>
      </w:pPr>
    </w:p>
    <w:p w14:paraId="5C6BCCA4" w14:textId="36CDF129" w:rsidR="001B0ADC" w:rsidRPr="005A73E4" w:rsidRDefault="002F5B96" w:rsidP="005E4230">
      <w:pPr>
        <w:spacing w:after="0"/>
        <w:ind w:left="720"/>
        <w:jc w:val="both"/>
        <w:rPr>
          <w:i/>
          <w:color w:val="2E74B5" w:themeColor="accent1" w:themeShade="BF"/>
        </w:rPr>
      </w:pPr>
      <w:r w:rsidRPr="005A73E4">
        <w:rPr>
          <w:i/>
          <w:color w:val="2E74B5" w:themeColor="accent1" w:themeShade="BF"/>
        </w:rPr>
        <w:t>To ensure safe use of pesticides in outdoor and indoor cultivation facilities, considered under Worker Protection Standards to be indoor/outdoor greenhouses and outdoor cultivation farm establishments.</w:t>
      </w:r>
    </w:p>
    <w:p w14:paraId="7ABEA5B8" w14:textId="77777777" w:rsidR="001B0ADC" w:rsidRPr="003110FB" w:rsidRDefault="001B0ADC" w:rsidP="001B0ADC">
      <w:pPr>
        <w:spacing w:after="0"/>
      </w:pPr>
    </w:p>
    <w:p w14:paraId="19719B95" w14:textId="77777777" w:rsidR="005E4230"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r w:rsidR="00F944B2">
        <w:t xml:space="preserve">  </w:t>
      </w:r>
    </w:p>
    <w:p w14:paraId="1833E1A3" w14:textId="77777777" w:rsidR="002F5BE6" w:rsidRDefault="002F5BE6" w:rsidP="002F5BE6">
      <w:pPr>
        <w:pStyle w:val="ListParagraph"/>
        <w:spacing w:after="0"/>
      </w:pPr>
    </w:p>
    <w:p w14:paraId="2A18D801" w14:textId="374975AB" w:rsidR="005E4230" w:rsidRPr="005A73E4" w:rsidRDefault="005A73E4" w:rsidP="005E4230">
      <w:pPr>
        <w:pStyle w:val="ListParagraph"/>
        <w:spacing w:after="0"/>
        <w:rPr>
          <w:i/>
          <w:color w:val="2E74B5" w:themeColor="accent1" w:themeShade="BF"/>
        </w:rPr>
      </w:pPr>
      <w:r>
        <w:rPr>
          <w:i/>
          <w:color w:val="2E74B5" w:themeColor="accent1" w:themeShade="BF"/>
        </w:rPr>
        <w:t>N</w:t>
      </w:r>
      <w:r w:rsidR="002F5BE6">
        <w:rPr>
          <w:i/>
          <w:color w:val="2E74B5" w:themeColor="accent1" w:themeShade="BF"/>
        </w:rPr>
        <w:t>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lastRenderedPageBreak/>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1963ECC1" w14:textId="77777777" w:rsidR="002F5BE6" w:rsidRDefault="002F5BE6" w:rsidP="002F5BE6">
      <w:pPr>
        <w:pStyle w:val="ListParagraph"/>
        <w:spacing w:after="0"/>
      </w:pPr>
    </w:p>
    <w:p w14:paraId="585DD1E8" w14:textId="37C52BA6" w:rsidR="005E4230" w:rsidRPr="005A73E4" w:rsidRDefault="00FF48FE" w:rsidP="00FF48FE">
      <w:pPr>
        <w:spacing w:after="0"/>
        <w:ind w:left="720"/>
        <w:rPr>
          <w:b/>
          <w:i/>
          <w:color w:val="2E74B5" w:themeColor="accent1" w:themeShade="BF"/>
        </w:rPr>
      </w:pPr>
      <w:r w:rsidRPr="005A73E4">
        <w:rPr>
          <w:b/>
          <w:i/>
          <w:color w:val="2E74B5" w:themeColor="accent1" w:themeShade="BF"/>
        </w:rPr>
        <w:t>Recommendation to add the follo</w:t>
      </w:r>
      <w:r w:rsidR="00462786" w:rsidRPr="005A73E4">
        <w:rPr>
          <w:b/>
          <w:i/>
          <w:color w:val="2E74B5" w:themeColor="accent1" w:themeShade="BF"/>
        </w:rPr>
        <w:t>wing into regulation for cannabis cultivation facilities</w:t>
      </w:r>
      <w:r w:rsidRPr="005A73E4">
        <w:rPr>
          <w:b/>
          <w:i/>
          <w:color w:val="2E74B5" w:themeColor="accent1" w:themeShade="BF"/>
        </w:rPr>
        <w:t>:</w:t>
      </w:r>
    </w:p>
    <w:p w14:paraId="17A20A5D" w14:textId="77777777" w:rsidR="00FF48FE" w:rsidRDefault="00FF48FE" w:rsidP="00FF48FE">
      <w:pPr>
        <w:spacing w:after="0"/>
        <w:ind w:left="720"/>
        <w:rPr>
          <w:i/>
          <w:color w:val="2E74B5" w:themeColor="accent1" w:themeShade="BF"/>
        </w:rPr>
      </w:pPr>
    </w:p>
    <w:p w14:paraId="11C7DC85" w14:textId="1E204DB5" w:rsidR="00FF48FE" w:rsidRPr="002E4AA4" w:rsidRDefault="00FF48FE" w:rsidP="002F5BE6">
      <w:pPr>
        <w:ind w:left="720"/>
        <w:jc w:val="both"/>
        <w:rPr>
          <w:i/>
          <w:color w:val="2E74B5" w:themeColor="accent1" w:themeShade="BF"/>
        </w:rPr>
      </w:pPr>
      <w:r w:rsidRPr="002E4AA4">
        <w:rPr>
          <w:i/>
          <w:color w:val="2E74B5" w:themeColor="accent1" w:themeShade="BF"/>
        </w:rPr>
        <w:t>Certification through Nevada Department of Agriculture (NDA) Pesticide Certification Program of at least one cultivation facility staff member in Commercial Greenhouse category for indoor cultivation and/or Commercial Agricultural Plant/Animal category for outdoor cultivation.</w:t>
      </w:r>
      <w:r w:rsidR="00462786" w:rsidRPr="002E4AA4">
        <w:rPr>
          <w:i/>
          <w:color w:val="2E74B5" w:themeColor="accent1" w:themeShade="BF"/>
        </w:rPr>
        <w:t xml:space="preserve">  This is an existing procedure for pesticide applicators.  The test typically takes less than one hour and costs $50.00.</w:t>
      </w:r>
    </w:p>
    <w:p w14:paraId="2C9A4AC6" w14:textId="0E8B56B1" w:rsidR="00FF48FE" w:rsidRPr="002E4AA4" w:rsidRDefault="00FF48FE" w:rsidP="002F5BE6">
      <w:pPr>
        <w:ind w:left="720"/>
        <w:jc w:val="both"/>
        <w:rPr>
          <w:i/>
          <w:color w:val="2E74B5" w:themeColor="accent1" w:themeShade="BF"/>
        </w:rPr>
      </w:pPr>
      <w:r w:rsidRPr="002E4AA4">
        <w:rPr>
          <w:i/>
          <w:color w:val="2E74B5" w:themeColor="accent1" w:themeShade="BF"/>
        </w:rPr>
        <w:t xml:space="preserve">Pesticide Education Consultation performed by Nevada Department of Agriculture inspectors with Cultivation Staff at initial Certification of Indoor/Outdoor </w:t>
      </w:r>
      <w:r w:rsidR="00462786" w:rsidRPr="002E4AA4">
        <w:rPr>
          <w:i/>
          <w:color w:val="2E74B5" w:themeColor="accent1" w:themeShade="BF"/>
        </w:rPr>
        <w:t>cannabis c</w:t>
      </w:r>
      <w:r w:rsidRPr="002E4AA4">
        <w:rPr>
          <w:i/>
          <w:color w:val="2E74B5" w:themeColor="accent1" w:themeShade="BF"/>
        </w:rPr>
        <w:t xml:space="preserve">ultivation </w:t>
      </w:r>
      <w:r w:rsidR="00462786" w:rsidRPr="002E4AA4">
        <w:rPr>
          <w:i/>
          <w:color w:val="2E74B5" w:themeColor="accent1" w:themeShade="BF"/>
        </w:rPr>
        <w:t>f</w:t>
      </w:r>
      <w:r w:rsidRPr="002E4AA4">
        <w:rPr>
          <w:i/>
          <w:color w:val="2E74B5" w:themeColor="accent1" w:themeShade="BF"/>
        </w:rPr>
        <w:t>acilities.</w:t>
      </w:r>
    </w:p>
    <w:p w14:paraId="36334A19" w14:textId="77777777" w:rsidR="00FF48FE" w:rsidRPr="002E4AA4" w:rsidRDefault="00FF48FE" w:rsidP="002F5BE6">
      <w:pPr>
        <w:ind w:left="720"/>
        <w:jc w:val="both"/>
        <w:rPr>
          <w:i/>
          <w:color w:val="2E74B5" w:themeColor="accent1" w:themeShade="BF"/>
        </w:rPr>
      </w:pPr>
      <w:r w:rsidRPr="002E4AA4">
        <w:rPr>
          <w:i/>
          <w:color w:val="2E74B5" w:themeColor="accent1" w:themeShade="BF"/>
        </w:rPr>
        <w:t>Submit to random and/or scheduled facility visits by NDA staff inspectors in conjunction with quality assurance or for cause, such as a complaint.</w:t>
      </w:r>
    </w:p>
    <w:p w14:paraId="266ED65D" w14:textId="052268AF" w:rsidR="00081DBE" w:rsidRPr="002E4AA4" w:rsidRDefault="00081DBE" w:rsidP="002F5BE6">
      <w:pPr>
        <w:ind w:firstLine="720"/>
        <w:jc w:val="both"/>
        <w:rPr>
          <w:i/>
          <w:color w:val="2E74B5" w:themeColor="accent1" w:themeShade="BF"/>
        </w:rPr>
      </w:pPr>
      <w:r w:rsidRPr="002E4AA4">
        <w:rPr>
          <w:i/>
          <w:color w:val="2E74B5" w:themeColor="accent1" w:themeShade="BF"/>
        </w:rPr>
        <w:t xml:space="preserve">Provide funding for the NDA to provide the services required by federal law.  </w:t>
      </w:r>
    </w:p>
    <w:p w14:paraId="5C7BBF2E" w14:textId="77777777" w:rsidR="002667A1" w:rsidRDefault="002667A1" w:rsidP="002667A1">
      <w:pPr>
        <w:pStyle w:val="NoSpacing"/>
        <w:rPr>
          <w:rFonts w:ascii="Calibri" w:hAnsi="Calibri" w:cs="Calibri"/>
          <w:color w:val="2E74B5" w:themeColor="accent1" w:themeShade="BF"/>
        </w:rPr>
      </w:pPr>
    </w:p>
    <w:p w14:paraId="554D1DAD" w14:textId="0A7851F0" w:rsidR="002F5BE6" w:rsidRDefault="004B6B56" w:rsidP="002667A1">
      <w:pPr>
        <w:pStyle w:val="NoSpacing"/>
        <w:ind w:firstLine="720"/>
        <w:rPr>
          <w:rFonts w:ascii="Calibri" w:hAnsi="Calibri" w:cs="Calibri"/>
          <w:b/>
          <w:i/>
          <w:color w:val="2E74B5" w:themeColor="accent1" w:themeShade="BF"/>
        </w:rPr>
      </w:pPr>
      <w:r w:rsidRPr="00F139B0">
        <w:rPr>
          <w:rFonts w:ascii="Calibri" w:hAnsi="Calibri" w:cs="Calibri"/>
          <w:b/>
          <w:i/>
          <w:color w:val="2E74B5" w:themeColor="accent1" w:themeShade="BF"/>
        </w:rPr>
        <w:t>Applicable NAC with suggested changes:</w:t>
      </w:r>
    </w:p>
    <w:p w14:paraId="44EC20BB" w14:textId="77777777" w:rsidR="002F5BE6" w:rsidRPr="00F139B0" w:rsidRDefault="002F5BE6" w:rsidP="002667A1">
      <w:pPr>
        <w:pStyle w:val="NoSpacing"/>
        <w:ind w:firstLine="720"/>
        <w:rPr>
          <w:rFonts w:ascii="Calibri" w:hAnsi="Calibri" w:cs="Calibri"/>
          <w:b/>
          <w:i/>
          <w:color w:val="2E74B5" w:themeColor="accent1" w:themeShade="BF"/>
        </w:rPr>
      </w:pPr>
    </w:p>
    <w:p w14:paraId="3FBAECEF" w14:textId="203DC6BD" w:rsidR="004B6B56" w:rsidRPr="00F139B0" w:rsidRDefault="004B6B56" w:rsidP="002667A1">
      <w:pPr>
        <w:pStyle w:val="nacbody"/>
        <w:spacing w:before="0" w:beforeAutospacing="0" w:after="0" w:afterAutospacing="0" w:line="240" w:lineRule="atLeast"/>
        <w:ind w:left="720"/>
        <w:jc w:val="both"/>
        <w:rPr>
          <w:rStyle w:val="apple-converted-space"/>
          <w:rFonts w:ascii="Calibri" w:hAnsi="Calibri" w:cs="Calibri"/>
          <w:i/>
          <w:color w:val="2E74B5" w:themeColor="accent1" w:themeShade="BF"/>
          <w:sz w:val="22"/>
          <w:szCs w:val="22"/>
        </w:rPr>
      </w:pPr>
      <w:r w:rsidRPr="00F139B0">
        <w:rPr>
          <w:rStyle w:val="nacsection"/>
          <w:rFonts w:ascii="Calibri" w:hAnsi="Calibri" w:cs="Calibri"/>
          <w:b/>
          <w:bCs/>
          <w:i/>
          <w:color w:val="2E74B5" w:themeColor="accent1" w:themeShade="BF"/>
          <w:sz w:val="22"/>
          <w:szCs w:val="22"/>
        </w:rPr>
        <w:t>NAC</w:t>
      </w:r>
      <w:r w:rsidRPr="00F139B0">
        <w:rPr>
          <w:rStyle w:val="nacsection"/>
          <w:rFonts w:ascii="Calibri" w:hAnsi="Calibri" w:cs="Calibri"/>
          <w:b/>
          <w:bCs/>
          <w:i/>
          <w:color w:val="2E74B5" w:themeColor="accent1" w:themeShade="BF"/>
          <w:sz w:val="22"/>
          <w:szCs w:val="22"/>
        </w:rPr>
        <w:t> </w:t>
      </w:r>
      <w:r w:rsidRPr="00F139B0">
        <w:rPr>
          <w:rStyle w:val="nacsection"/>
          <w:rFonts w:ascii="Calibri" w:hAnsi="Calibri" w:cs="Calibri"/>
          <w:b/>
          <w:bCs/>
          <w:i/>
          <w:color w:val="2E74B5" w:themeColor="accent1" w:themeShade="BF"/>
          <w:sz w:val="22"/>
          <w:szCs w:val="22"/>
        </w:rPr>
        <w:t>453A.306</w:t>
      </w:r>
      <w:r w:rsidRPr="00F139B0">
        <w:rPr>
          <w:rStyle w:val="empty"/>
          <w:rFonts w:ascii="Calibri" w:hAnsi="Calibri" w:cs="Calibri"/>
          <w:b/>
          <w:bCs/>
          <w:i/>
          <w:color w:val="2E74B5" w:themeColor="accent1" w:themeShade="BF"/>
          <w:sz w:val="22"/>
          <w:szCs w:val="22"/>
        </w:rPr>
        <w:t> </w:t>
      </w:r>
      <w:r w:rsidRPr="00F139B0">
        <w:rPr>
          <w:rStyle w:val="empty"/>
          <w:rFonts w:ascii="Calibri" w:hAnsi="Calibri" w:cs="Calibri"/>
          <w:b/>
          <w:bCs/>
          <w:i/>
          <w:color w:val="2E74B5" w:themeColor="accent1" w:themeShade="BF"/>
          <w:sz w:val="22"/>
          <w:szCs w:val="22"/>
        </w:rPr>
        <w:t> </w:t>
      </w:r>
      <w:r w:rsidRPr="00F139B0">
        <w:rPr>
          <w:rStyle w:val="naclead"/>
          <w:rFonts w:ascii="Calibri" w:hAnsi="Calibri" w:cs="Calibri"/>
          <w:b/>
          <w:bCs/>
          <w:i/>
          <w:color w:val="2E74B5" w:themeColor="accent1" w:themeShade="BF"/>
          <w:sz w:val="22"/>
          <w:szCs w:val="22"/>
        </w:rPr>
        <w:t>Applications to operate establishment: Required provisions.</w:t>
      </w:r>
      <w:r w:rsidRPr="00F139B0">
        <w:rPr>
          <w:rStyle w:val="apple-converted-space"/>
          <w:rFonts w:ascii="Calibri" w:hAnsi="Calibri" w:cs="Calibri"/>
          <w:b/>
          <w:bCs/>
          <w:i/>
          <w:color w:val="2E74B5" w:themeColor="accent1" w:themeShade="BF"/>
          <w:sz w:val="22"/>
          <w:szCs w:val="22"/>
        </w:rPr>
        <w:t> </w:t>
      </w:r>
      <w:r w:rsidRPr="00F139B0">
        <w:rPr>
          <w:rStyle w:val="nrsauthority"/>
          <w:rFonts w:ascii="Calibri" w:hAnsi="Calibri" w:cs="Calibri"/>
          <w:b/>
          <w:bCs/>
          <w:i/>
          <w:color w:val="2E74B5" w:themeColor="accent1" w:themeShade="BF"/>
          <w:sz w:val="22"/>
          <w:szCs w:val="22"/>
        </w:rPr>
        <w:t>(</w:t>
      </w:r>
      <w:hyperlink r:id="rId9" w:anchor="NRS453ASec322" w:history="1">
        <w:r w:rsidRPr="00F139B0">
          <w:rPr>
            <w:rStyle w:val="Hyperlink"/>
            <w:rFonts w:ascii="Calibri" w:hAnsi="Calibri" w:cs="Calibri"/>
            <w:i/>
            <w:color w:val="2E74B5" w:themeColor="accent1" w:themeShade="BF"/>
            <w:sz w:val="22"/>
            <w:szCs w:val="22"/>
          </w:rPr>
          <w:t>NRS 453A.322</w:t>
        </w:r>
      </w:hyperlink>
      <w:r w:rsidRPr="00F139B0">
        <w:rPr>
          <w:rStyle w:val="nrsauthority"/>
          <w:rFonts w:ascii="Calibri" w:hAnsi="Calibri" w:cs="Calibri"/>
          <w:b/>
          <w:bCs/>
          <w:i/>
          <w:color w:val="2E74B5" w:themeColor="accent1" w:themeShade="BF"/>
          <w:sz w:val="22"/>
          <w:szCs w:val="22"/>
        </w:rPr>
        <w:t>,</w:t>
      </w:r>
      <w:r w:rsidRPr="00F139B0">
        <w:rPr>
          <w:rStyle w:val="apple-converted-space"/>
          <w:rFonts w:ascii="Calibri" w:hAnsi="Calibri" w:cs="Calibri"/>
          <w:b/>
          <w:bCs/>
          <w:i/>
          <w:color w:val="2E74B5" w:themeColor="accent1" w:themeShade="BF"/>
          <w:sz w:val="22"/>
          <w:szCs w:val="22"/>
        </w:rPr>
        <w:t> </w:t>
      </w:r>
      <w:hyperlink r:id="rId10" w:anchor="NRS453ASec344" w:history="1">
        <w:r w:rsidRPr="00F139B0">
          <w:rPr>
            <w:rStyle w:val="Hyperlink"/>
            <w:rFonts w:ascii="Calibri" w:hAnsi="Calibri" w:cs="Calibri"/>
            <w:i/>
            <w:color w:val="2E74B5" w:themeColor="accent1" w:themeShade="BF"/>
            <w:sz w:val="22"/>
            <w:szCs w:val="22"/>
          </w:rPr>
          <w:t>453A.344</w:t>
        </w:r>
      </w:hyperlink>
      <w:r w:rsidRPr="00F139B0">
        <w:rPr>
          <w:rStyle w:val="nrsauthority"/>
          <w:rFonts w:ascii="Calibri" w:hAnsi="Calibri" w:cs="Calibri"/>
          <w:b/>
          <w:bCs/>
          <w:i/>
          <w:color w:val="2E74B5" w:themeColor="accent1" w:themeShade="BF"/>
          <w:sz w:val="22"/>
          <w:szCs w:val="22"/>
        </w:rPr>
        <w:t>,</w:t>
      </w:r>
      <w:r w:rsidRPr="00F139B0">
        <w:rPr>
          <w:rStyle w:val="apple-converted-space"/>
          <w:rFonts w:ascii="Calibri" w:hAnsi="Calibri" w:cs="Calibri"/>
          <w:b/>
          <w:bCs/>
          <w:i/>
          <w:color w:val="2E74B5" w:themeColor="accent1" w:themeShade="BF"/>
          <w:sz w:val="22"/>
          <w:szCs w:val="22"/>
        </w:rPr>
        <w:t> </w:t>
      </w:r>
      <w:hyperlink r:id="rId11" w:anchor="NRS453ASec370" w:history="1">
        <w:r w:rsidRPr="00F139B0">
          <w:rPr>
            <w:rStyle w:val="Hyperlink"/>
            <w:rFonts w:ascii="Calibri" w:hAnsi="Calibri" w:cs="Calibri"/>
            <w:i/>
            <w:color w:val="2E74B5" w:themeColor="accent1" w:themeShade="BF"/>
            <w:sz w:val="22"/>
            <w:szCs w:val="22"/>
          </w:rPr>
          <w:t>453A.370</w:t>
        </w:r>
      </w:hyperlink>
      <w:r w:rsidRPr="00F139B0">
        <w:rPr>
          <w:rStyle w:val="nrsauthority"/>
          <w:rFonts w:ascii="Calibri" w:hAnsi="Calibri" w:cs="Calibri"/>
          <w:b/>
          <w:bCs/>
          <w:i/>
          <w:color w:val="2E74B5" w:themeColor="accent1" w:themeShade="BF"/>
          <w:sz w:val="22"/>
          <w:szCs w:val="22"/>
        </w:rPr>
        <w:t>)</w:t>
      </w:r>
      <w:r w:rsidRPr="00F139B0">
        <w:rPr>
          <w:rStyle w:val="empty"/>
          <w:rFonts w:ascii="Calibri" w:hAnsi="Calibri" w:cs="Calibri"/>
          <w:b/>
          <w:bCs/>
          <w:i/>
          <w:color w:val="2E74B5" w:themeColor="accent1" w:themeShade="BF"/>
          <w:sz w:val="22"/>
          <w:szCs w:val="22"/>
        </w:rPr>
        <w:t> </w:t>
      </w:r>
      <w:r w:rsidRPr="00F139B0">
        <w:rPr>
          <w:rStyle w:val="empty"/>
          <w:rFonts w:ascii="Calibri" w:hAnsi="Calibri" w:cs="Calibri"/>
          <w:b/>
          <w:bCs/>
          <w:i/>
          <w:color w:val="2E74B5" w:themeColor="accent1" w:themeShade="BF"/>
          <w:sz w:val="22"/>
          <w:szCs w:val="22"/>
        </w:rPr>
        <w:t> </w:t>
      </w:r>
      <w:r w:rsidRPr="00F139B0">
        <w:rPr>
          <w:rFonts w:ascii="Calibri" w:hAnsi="Calibri" w:cs="Calibri"/>
          <w:i/>
          <w:color w:val="2E74B5" w:themeColor="accent1" w:themeShade="BF"/>
          <w:sz w:val="22"/>
          <w:szCs w:val="22"/>
        </w:rPr>
        <w:t>An application submitted in response to a request for applications issued pursuant to</w:t>
      </w:r>
      <w:r w:rsidRPr="00F139B0">
        <w:rPr>
          <w:rStyle w:val="apple-converted-space"/>
          <w:rFonts w:ascii="Calibri" w:hAnsi="Calibri" w:cs="Calibri"/>
          <w:i/>
          <w:color w:val="2E74B5" w:themeColor="accent1" w:themeShade="BF"/>
          <w:sz w:val="22"/>
          <w:szCs w:val="22"/>
        </w:rPr>
        <w:t> </w:t>
      </w:r>
      <w:hyperlink r:id="rId12" w:anchor="NAC453ASec304" w:history="1">
        <w:r w:rsidRPr="00F139B0">
          <w:rPr>
            <w:rStyle w:val="Hyperlink"/>
            <w:rFonts w:ascii="Calibri" w:hAnsi="Calibri" w:cs="Calibri"/>
            <w:i/>
            <w:color w:val="2E74B5" w:themeColor="accent1" w:themeShade="BF"/>
            <w:sz w:val="22"/>
            <w:szCs w:val="22"/>
          </w:rPr>
          <w:t>NAC 453A.304</w:t>
        </w:r>
      </w:hyperlink>
      <w:r w:rsidRPr="00F139B0">
        <w:rPr>
          <w:rStyle w:val="apple-converted-space"/>
          <w:rFonts w:ascii="Calibri" w:hAnsi="Calibri" w:cs="Calibri"/>
          <w:i/>
          <w:color w:val="2E74B5" w:themeColor="accent1" w:themeShade="BF"/>
          <w:sz w:val="22"/>
          <w:szCs w:val="22"/>
        </w:rPr>
        <w:t> </w:t>
      </w:r>
      <w:r w:rsidRPr="00F139B0">
        <w:rPr>
          <w:rFonts w:ascii="Calibri" w:hAnsi="Calibri" w:cs="Calibri"/>
          <w:i/>
          <w:color w:val="2E74B5" w:themeColor="accent1" w:themeShade="BF"/>
          <w:sz w:val="22"/>
          <w:szCs w:val="22"/>
        </w:rPr>
        <w:t>must include:</w:t>
      </w:r>
    </w:p>
    <w:p w14:paraId="012062D9" w14:textId="0281A76F"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b/>
          <w:i/>
          <w:color w:val="2E74B5" w:themeColor="accent1" w:themeShade="BF"/>
          <w:sz w:val="22"/>
          <w:szCs w:val="22"/>
        </w:rPr>
        <w:t>11.</w:t>
      </w:r>
      <w:r w:rsidR="002667A1" w:rsidRPr="00F139B0">
        <w:rPr>
          <w:rFonts w:ascii="Calibri" w:hAnsi="Calibri" w:cs="Calibri"/>
          <w:b/>
          <w:i/>
          <w:color w:val="2E74B5" w:themeColor="accent1" w:themeShade="BF"/>
          <w:sz w:val="22"/>
          <w:szCs w:val="22"/>
        </w:rPr>
        <w:t xml:space="preserve"> </w:t>
      </w:r>
      <w:r w:rsidRPr="00F139B0">
        <w:rPr>
          <w:rFonts w:ascii="Calibri" w:hAnsi="Calibri" w:cs="Calibri"/>
          <w:i/>
          <w:color w:val="2E74B5" w:themeColor="accent1" w:themeShade="BF"/>
          <w:sz w:val="22"/>
          <w:szCs w:val="22"/>
        </w:rPr>
        <w:t>Evidence that the applicant has a plan to staff, educate and manage the proposed medical marijuana establishment on a daily basis, which must include, without limitation:</w:t>
      </w:r>
    </w:p>
    <w:p w14:paraId="527CC006" w14:textId="31D53D11"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(a)</w:t>
      </w:r>
      <w:r w:rsidR="008C13D7">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 detailed budget for the proposed medical marijuana establishment, including pre-opening, construction and first year operating expenses;</w:t>
      </w:r>
    </w:p>
    <w:p w14:paraId="16DF91EE" w14:textId="47625F1A"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(b)</w:t>
      </w:r>
      <w:r w:rsidR="008C13D7">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An operations manual that demonstrates compliance with this chapter;</w:t>
      </w:r>
    </w:p>
    <w:p w14:paraId="19EE1E0C" w14:textId="7C1742F8"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(c)</w:t>
      </w:r>
      <w:r w:rsidR="008C13D7">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An education plan which must include, without limitation, providing educational materials to the staff of the proposed medical marijuana establishment; and</w:t>
      </w:r>
    </w:p>
    <w:p w14:paraId="5F0369E1" w14:textId="2BCDDC67"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(d)</w:t>
      </w:r>
      <w:r w:rsidR="008C13D7">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 plan to minimize the environmental impact of the proposed medical marijuana establishment.</w:t>
      </w:r>
    </w:p>
    <w:p w14:paraId="2101CD6F" w14:textId="6FFF2F7E" w:rsidR="004B6B56" w:rsidRPr="002F5BE6" w:rsidRDefault="008C13D7"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2F5BE6">
        <w:rPr>
          <w:rFonts w:ascii="Calibri" w:hAnsi="Calibri" w:cs="Calibri"/>
          <w:i/>
          <w:color w:val="FF0000"/>
          <w:sz w:val="22"/>
          <w:szCs w:val="22"/>
        </w:rPr>
        <w:t xml:space="preserve">(e) </w:t>
      </w:r>
      <w:r w:rsidR="004B6B56" w:rsidRPr="002F5BE6">
        <w:rPr>
          <w:rFonts w:ascii="Calibri" w:hAnsi="Calibri" w:cs="Calibri"/>
          <w:i/>
          <w:color w:val="FF0000"/>
          <w:sz w:val="22"/>
          <w:szCs w:val="22"/>
        </w:rPr>
        <w:t xml:space="preserve">At least one Certified Pesticide Applicator at each facility, certified by the Nevada Department of Agriculture pesticide program, in the Greenhouse Category for indoor/outdoor greenhouse marijuana cultivations and/or Agricultural Plant and/or Agricultural Animal Categories for outdoor marijuana cultivation depending on the type of cultivation facility. </w:t>
      </w:r>
      <w:r w:rsidR="004B6B56" w:rsidRPr="002F5BE6">
        <w:rPr>
          <w:rFonts w:ascii="Calibri" w:hAnsi="Calibri" w:cs="Calibri"/>
          <w:i/>
          <w:color w:val="2E74B5" w:themeColor="accent1" w:themeShade="BF"/>
          <w:sz w:val="22"/>
          <w:szCs w:val="22"/>
        </w:rPr>
        <w:tab/>
      </w:r>
    </w:p>
    <w:p w14:paraId="25508113" w14:textId="77777777"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p>
    <w:p w14:paraId="3F839F27" w14:textId="0CF3D408" w:rsidR="00784921" w:rsidRDefault="00784921" w:rsidP="002667A1">
      <w:pPr>
        <w:pStyle w:val="nacbody"/>
        <w:spacing w:before="0" w:beforeAutospacing="0" w:after="0" w:afterAutospacing="0" w:line="240" w:lineRule="atLeast"/>
        <w:ind w:left="720"/>
        <w:jc w:val="both"/>
        <w:rPr>
          <w:b/>
          <w:i/>
          <w:color w:val="2E74B5" w:themeColor="accent1" w:themeShade="BF"/>
          <w:sz w:val="22"/>
          <w:szCs w:val="22"/>
        </w:rPr>
      </w:pPr>
      <w:bookmarkStart w:id="0" w:name="NAC555Sec440"/>
      <w:bookmarkEnd w:id="0"/>
      <w:r w:rsidRPr="002F5BE6">
        <w:rPr>
          <w:b/>
          <w:i/>
          <w:color w:val="2E74B5" w:themeColor="accent1" w:themeShade="BF"/>
          <w:sz w:val="22"/>
          <w:szCs w:val="22"/>
        </w:rPr>
        <w:t>CHAPTER 555 - CONTROL OF INSECTS, PESTS AND NOXIOUS WEEDS</w:t>
      </w:r>
    </w:p>
    <w:p w14:paraId="05305512" w14:textId="77777777" w:rsidR="002F5BE6" w:rsidRPr="002F5BE6" w:rsidRDefault="002F5BE6" w:rsidP="002667A1">
      <w:pPr>
        <w:pStyle w:val="nacbody"/>
        <w:spacing w:before="0" w:beforeAutospacing="0" w:after="0" w:afterAutospacing="0" w:line="240" w:lineRule="atLeast"/>
        <w:ind w:left="720"/>
        <w:jc w:val="both"/>
        <w:rPr>
          <w:rStyle w:val="nacsection"/>
          <w:rFonts w:ascii="Calibri" w:hAnsi="Calibri" w:cs="Calibri"/>
          <w:b/>
          <w:bCs/>
          <w:i/>
          <w:color w:val="2E74B5" w:themeColor="accent1" w:themeShade="BF"/>
          <w:sz w:val="22"/>
          <w:szCs w:val="22"/>
        </w:rPr>
      </w:pPr>
    </w:p>
    <w:p w14:paraId="1C74797D" w14:textId="2A3C4A8A"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proofErr w:type="gramStart"/>
      <w:r w:rsidRPr="00F139B0">
        <w:rPr>
          <w:rStyle w:val="nacsection"/>
          <w:rFonts w:ascii="Calibri" w:hAnsi="Calibri" w:cs="Calibri"/>
          <w:b/>
          <w:bCs/>
          <w:i/>
          <w:color w:val="2E74B5" w:themeColor="accent1" w:themeShade="BF"/>
          <w:sz w:val="22"/>
          <w:szCs w:val="22"/>
        </w:rPr>
        <w:t>NAC</w:t>
      </w:r>
      <w:r w:rsidRPr="00F139B0">
        <w:rPr>
          <w:rStyle w:val="nacsection"/>
          <w:rFonts w:ascii="Calibri" w:hAnsi="Calibri" w:cs="Calibri"/>
          <w:b/>
          <w:bCs/>
          <w:i/>
          <w:color w:val="2E74B5" w:themeColor="accent1" w:themeShade="BF"/>
          <w:sz w:val="22"/>
          <w:szCs w:val="22"/>
        </w:rPr>
        <w:t> </w:t>
      </w:r>
      <w:r w:rsidRPr="00F139B0">
        <w:rPr>
          <w:rStyle w:val="nacsection"/>
          <w:rFonts w:ascii="Calibri" w:hAnsi="Calibri" w:cs="Calibri"/>
          <w:b/>
          <w:bCs/>
          <w:i/>
          <w:color w:val="2E74B5" w:themeColor="accent1" w:themeShade="BF"/>
          <w:sz w:val="22"/>
          <w:szCs w:val="22"/>
        </w:rPr>
        <w:t>555.440</w:t>
      </w:r>
      <w:r w:rsidRPr="00F139B0">
        <w:rPr>
          <w:rStyle w:val="empty"/>
          <w:rFonts w:ascii="Calibri" w:hAnsi="Calibri" w:cs="Calibri"/>
          <w:i/>
          <w:color w:val="2E74B5" w:themeColor="accent1" w:themeShade="BF"/>
          <w:sz w:val="22"/>
          <w:szCs w:val="22"/>
        </w:rPr>
        <w:t> </w:t>
      </w:r>
      <w:r w:rsidRPr="00F139B0">
        <w:rPr>
          <w:rStyle w:val="naclead"/>
          <w:rFonts w:ascii="Calibri" w:hAnsi="Calibri" w:cs="Calibri"/>
          <w:b/>
          <w:bCs/>
          <w:i/>
          <w:color w:val="2E74B5" w:themeColor="accent1" w:themeShade="BF"/>
          <w:sz w:val="22"/>
          <w:szCs w:val="22"/>
        </w:rPr>
        <w:t>Precautionary requirements.</w:t>
      </w:r>
      <w:proofErr w:type="gramEnd"/>
      <w:r w:rsidRPr="00F139B0">
        <w:rPr>
          <w:rStyle w:val="apple-converted-space"/>
          <w:rFonts w:ascii="Calibri" w:hAnsi="Calibri" w:cs="Calibri"/>
          <w:b/>
          <w:bCs/>
          <w:i/>
          <w:color w:val="2E74B5" w:themeColor="accent1" w:themeShade="BF"/>
          <w:sz w:val="22"/>
          <w:szCs w:val="22"/>
        </w:rPr>
        <w:t> </w:t>
      </w:r>
      <w:r w:rsidRPr="00F139B0">
        <w:rPr>
          <w:rStyle w:val="nrsauthority"/>
          <w:rFonts w:ascii="Calibri" w:hAnsi="Calibri" w:cs="Calibri"/>
          <w:b/>
          <w:bCs/>
          <w:i/>
          <w:color w:val="2E74B5" w:themeColor="accent1" w:themeShade="BF"/>
          <w:sz w:val="22"/>
          <w:szCs w:val="22"/>
        </w:rPr>
        <w:t>(</w:t>
      </w:r>
      <w:hyperlink r:id="rId13" w:anchor="NRS555Sec380" w:history="1">
        <w:r w:rsidRPr="00F139B0">
          <w:rPr>
            <w:rStyle w:val="Hyperlink"/>
            <w:rFonts w:ascii="Calibri" w:hAnsi="Calibri" w:cs="Calibri"/>
            <w:i/>
            <w:color w:val="2E74B5" w:themeColor="accent1" w:themeShade="BF"/>
            <w:sz w:val="22"/>
            <w:szCs w:val="22"/>
          </w:rPr>
          <w:t>NRS 555.380</w:t>
        </w:r>
      </w:hyperlink>
      <w:r w:rsidRPr="00F139B0">
        <w:rPr>
          <w:rStyle w:val="nrsauthority"/>
          <w:rFonts w:ascii="Calibri" w:hAnsi="Calibri" w:cs="Calibri"/>
          <w:b/>
          <w:bCs/>
          <w:i/>
          <w:color w:val="2E74B5" w:themeColor="accent1" w:themeShade="BF"/>
          <w:sz w:val="22"/>
          <w:szCs w:val="22"/>
        </w:rPr>
        <w:t>,</w:t>
      </w:r>
      <w:r w:rsidRPr="00F139B0">
        <w:rPr>
          <w:rStyle w:val="apple-converted-space"/>
          <w:rFonts w:ascii="Calibri" w:hAnsi="Calibri" w:cs="Calibri"/>
          <w:b/>
          <w:bCs/>
          <w:i/>
          <w:color w:val="2E74B5" w:themeColor="accent1" w:themeShade="BF"/>
          <w:sz w:val="22"/>
          <w:szCs w:val="22"/>
        </w:rPr>
        <w:t> </w:t>
      </w:r>
      <w:hyperlink r:id="rId14" w:anchor="NRS555Sec400" w:history="1">
        <w:r w:rsidRPr="00F139B0">
          <w:rPr>
            <w:rStyle w:val="Hyperlink"/>
            <w:rFonts w:ascii="Calibri" w:hAnsi="Calibri" w:cs="Calibri"/>
            <w:i/>
            <w:color w:val="2E74B5" w:themeColor="accent1" w:themeShade="BF"/>
            <w:sz w:val="22"/>
            <w:szCs w:val="22"/>
          </w:rPr>
          <w:t>555.400</w:t>
        </w:r>
      </w:hyperlink>
      <w:r w:rsidRPr="00F139B0">
        <w:rPr>
          <w:rStyle w:val="nrsauthority"/>
          <w:rFonts w:ascii="Calibri" w:hAnsi="Calibri" w:cs="Calibri"/>
          <w:b/>
          <w:bCs/>
          <w:i/>
          <w:color w:val="2E74B5" w:themeColor="accent1" w:themeShade="BF"/>
          <w:sz w:val="22"/>
          <w:szCs w:val="22"/>
        </w:rPr>
        <w:t>)</w:t>
      </w:r>
    </w:p>
    <w:p w14:paraId="3B65841B" w14:textId="1CBAE197"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1.</w:t>
      </w:r>
      <w:r w:rsidR="00FA7D3B">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 licensee or certified applicator engaged in the application of pesticides shall exercise reasonable precautions to protect persons, animals, crops and property from harm or damage.</w:t>
      </w:r>
    </w:p>
    <w:p w14:paraId="4089D587" w14:textId="0EFFC8F1"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2.</w:t>
      </w:r>
      <w:r w:rsidR="00FA7D3B">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 pesticide or its empty container must not be disposed of or left unattended where it may present a hazard to any person, animal, crop or property, or be disposed of in a manner likely to cause injury. A licensee or certified applicator shall ensure that all empty containers are removed from the operations work site or otherwise safeguarded.</w:t>
      </w:r>
    </w:p>
    <w:p w14:paraId="02D16E18" w14:textId="0533217F"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lastRenderedPageBreak/>
        <w:t>3.</w:t>
      </w:r>
      <w:r w:rsidR="00D84D2D" w:rsidRPr="00F139B0">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 licensee or certified applicator engaged in the application of pesticides shall:</w:t>
      </w:r>
    </w:p>
    <w:p w14:paraId="37793E39" w14:textId="1E577DAC"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(a)</w:t>
      </w:r>
      <w:r w:rsidR="00D84D2D" w:rsidRPr="00F139B0">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Provide his or her employees with the information, precautions and safety equipment required by the manufacturer of the pesticide or recommended by the Department; and</w:t>
      </w:r>
    </w:p>
    <w:p w14:paraId="4154F0B1" w14:textId="763D078C"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(b)</w:t>
      </w:r>
      <w:r w:rsidR="00D84D2D" w:rsidRPr="00F139B0">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Ensure that any safety equipment provided pursuant to paragraph (a) is in good working order.</w:t>
      </w:r>
    </w:p>
    <w:p w14:paraId="72A29AED" w14:textId="7036BC3B"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4.</w:t>
      </w:r>
      <w:r w:rsidR="00D84D2D" w:rsidRPr="00F139B0">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 licensee or certified applicator engaged in the application of pesticides shall use materials, dosages, formulas, devices and methods of application and disposal only in accordance with the directions on the label of the pesticide or device registered by the Environmental Protection Agency, registered by the Department or in accordance with the Federal Insecticide, Fungicide, and Rodenticide Act, 7 U.S.C. §§ 136 et seq.</w:t>
      </w:r>
    </w:p>
    <w:p w14:paraId="631E7420" w14:textId="3F62CD9D"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5.</w:t>
      </w:r>
      <w:r w:rsidR="000E5A37" w:rsidRPr="00F139B0">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 xml:space="preserve">A licensee who performs a preconstruction treatment to the soil using a liquid </w:t>
      </w:r>
      <w:proofErr w:type="spellStart"/>
      <w:r w:rsidRPr="00F139B0">
        <w:rPr>
          <w:rFonts w:ascii="Calibri" w:hAnsi="Calibri" w:cs="Calibri"/>
          <w:i/>
          <w:color w:val="2E74B5" w:themeColor="accent1" w:themeShade="BF"/>
          <w:sz w:val="22"/>
          <w:szCs w:val="22"/>
        </w:rPr>
        <w:t>termiticide</w:t>
      </w:r>
      <w:proofErr w:type="spellEnd"/>
      <w:r w:rsidRPr="00F139B0">
        <w:rPr>
          <w:rFonts w:ascii="Calibri" w:hAnsi="Calibri" w:cs="Calibri"/>
          <w:i/>
          <w:color w:val="2E74B5" w:themeColor="accent1" w:themeShade="BF"/>
          <w:sz w:val="22"/>
          <w:szCs w:val="22"/>
        </w:rPr>
        <w:t xml:space="preserve"> shall use, unless otherwise authorized by the Director:</w:t>
      </w:r>
    </w:p>
    <w:p w14:paraId="2259DD8C" w14:textId="060AB840"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(a)</w:t>
      </w:r>
      <w:r w:rsidRPr="00F139B0">
        <w:rPr>
          <w:rFonts w:ascii="Calibri" w:hAnsi="Calibri" w:cs="Calibri"/>
          <w:i/>
          <w:color w:val="2E74B5" w:themeColor="accent1" w:themeShade="BF"/>
          <w:sz w:val="22"/>
          <w:szCs w:val="22"/>
        </w:rPr>
        <w:t> </w:t>
      </w:r>
      <w:r w:rsidRPr="00F139B0">
        <w:rPr>
          <w:rFonts w:ascii="Calibri" w:hAnsi="Calibri" w:cs="Calibri"/>
          <w:i/>
          <w:color w:val="2E74B5" w:themeColor="accent1" w:themeShade="BF"/>
          <w:sz w:val="22"/>
          <w:szCs w:val="22"/>
        </w:rPr>
        <w:t xml:space="preserve">A flow metering device which is accurately calibrated to display the number of gallons of </w:t>
      </w:r>
      <w:proofErr w:type="spellStart"/>
      <w:r w:rsidRPr="00F139B0">
        <w:rPr>
          <w:rFonts w:ascii="Calibri" w:hAnsi="Calibri" w:cs="Calibri"/>
          <w:i/>
          <w:color w:val="2E74B5" w:themeColor="accent1" w:themeShade="BF"/>
          <w:sz w:val="22"/>
          <w:szCs w:val="22"/>
        </w:rPr>
        <w:t>termiticide</w:t>
      </w:r>
      <w:proofErr w:type="spellEnd"/>
      <w:r w:rsidRPr="00F139B0">
        <w:rPr>
          <w:rFonts w:ascii="Calibri" w:hAnsi="Calibri" w:cs="Calibri"/>
          <w:i/>
          <w:color w:val="2E74B5" w:themeColor="accent1" w:themeShade="BF"/>
          <w:sz w:val="22"/>
          <w:szCs w:val="22"/>
        </w:rPr>
        <w:t xml:space="preserve"> dispensed pursuant to</w:t>
      </w:r>
      <w:r w:rsidRPr="00F139B0">
        <w:rPr>
          <w:rStyle w:val="apple-converted-space"/>
          <w:rFonts w:ascii="Calibri" w:hAnsi="Calibri" w:cs="Calibri"/>
          <w:i/>
          <w:color w:val="2E74B5" w:themeColor="accent1" w:themeShade="BF"/>
          <w:sz w:val="22"/>
          <w:szCs w:val="22"/>
        </w:rPr>
        <w:t> </w:t>
      </w:r>
      <w:hyperlink r:id="rId15" w:anchor="NAC555Sec410" w:history="1">
        <w:r w:rsidRPr="00F139B0">
          <w:rPr>
            <w:rStyle w:val="Hyperlink"/>
            <w:rFonts w:ascii="Calibri" w:hAnsi="Calibri" w:cs="Calibri"/>
            <w:i/>
            <w:color w:val="2E74B5" w:themeColor="accent1" w:themeShade="BF"/>
            <w:sz w:val="22"/>
            <w:szCs w:val="22"/>
          </w:rPr>
          <w:t>NAC 555.410</w:t>
        </w:r>
      </w:hyperlink>
      <w:r w:rsidRPr="00F139B0">
        <w:rPr>
          <w:rFonts w:ascii="Calibri" w:hAnsi="Calibri" w:cs="Calibri"/>
          <w:i/>
          <w:color w:val="2E74B5" w:themeColor="accent1" w:themeShade="BF"/>
          <w:sz w:val="22"/>
          <w:szCs w:val="22"/>
        </w:rPr>
        <w:t>,</w:t>
      </w:r>
      <w:r w:rsidRPr="00F139B0">
        <w:rPr>
          <w:rStyle w:val="apple-converted-space"/>
          <w:rFonts w:ascii="Calibri" w:hAnsi="Calibri" w:cs="Calibri"/>
          <w:i/>
          <w:color w:val="2E74B5" w:themeColor="accent1" w:themeShade="BF"/>
          <w:sz w:val="22"/>
          <w:szCs w:val="22"/>
        </w:rPr>
        <w:t> </w:t>
      </w:r>
      <w:hyperlink r:id="rId16" w:anchor="NAC555Sec428" w:history="1">
        <w:r w:rsidRPr="00F139B0">
          <w:rPr>
            <w:rStyle w:val="Hyperlink"/>
            <w:rFonts w:ascii="Calibri" w:hAnsi="Calibri" w:cs="Calibri"/>
            <w:i/>
            <w:color w:val="2E74B5" w:themeColor="accent1" w:themeShade="BF"/>
            <w:sz w:val="22"/>
            <w:szCs w:val="22"/>
          </w:rPr>
          <w:t>555.428</w:t>
        </w:r>
      </w:hyperlink>
      <w:r w:rsidRPr="00F139B0">
        <w:rPr>
          <w:rStyle w:val="apple-converted-space"/>
          <w:rFonts w:ascii="Calibri" w:hAnsi="Calibri" w:cs="Calibri"/>
          <w:i/>
          <w:color w:val="2E74B5" w:themeColor="accent1" w:themeShade="BF"/>
          <w:sz w:val="22"/>
          <w:szCs w:val="22"/>
        </w:rPr>
        <w:t> </w:t>
      </w:r>
      <w:r w:rsidRPr="00F139B0">
        <w:rPr>
          <w:rFonts w:ascii="Calibri" w:hAnsi="Calibri" w:cs="Calibri"/>
          <w:i/>
          <w:color w:val="2E74B5" w:themeColor="accent1" w:themeShade="BF"/>
          <w:sz w:val="22"/>
          <w:szCs w:val="22"/>
        </w:rPr>
        <w:t>and</w:t>
      </w:r>
      <w:r w:rsidRPr="00F139B0">
        <w:rPr>
          <w:rStyle w:val="apple-converted-space"/>
          <w:rFonts w:ascii="Calibri" w:hAnsi="Calibri" w:cs="Calibri"/>
          <w:i/>
          <w:color w:val="2E74B5" w:themeColor="accent1" w:themeShade="BF"/>
          <w:sz w:val="22"/>
          <w:szCs w:val="22"/>
        </w:rPr>
        <w:t> </w:t>
      </w:r>
      <w:hyperlink r:id="rId17" w:anchor="NAC555Sec700" w:history="1">
        <w:r w:rsidRPr="00F139B0">
          <w:rPr>
            <w:rStyle w:val="Hyperlink"/>
            <w:rFonts w:ascii="Calibri" w:hAnsi="Calibri" w:cs="Calibri"/>
            <w:i/>
            <w:color w:val="2E74B5" w:themeColor="accent1" w:themeShade="BF"/>
            <w:sz w:val="22"/>
            <w:szCs w:val="22"/>
          </w:rPr>
          <w:t>555.700</w:t>
        </w:r>
      </w:hyperlink>
      <w:r w:rsidRPr="00F139B0">
        <w:rPr>
          <w:rFonts w:ascii="Calibri" w:hAnsi="Calibri" w:cs="Calibri"/>
          <w:i/>
          <w:color w:val="2E74B5" w:themeColor="accent1" w:themeShade="BF"/>
          <w:sz w:val="22"/>
          <w:szCs w:val="22"/>
        </w:rPr>
        <w:t>; or</w:t>
      </w:r>
    </w:p>
    <w:p w14:paraId="6C95093E" w14:textId="3007EBF2"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(b)</w:t>
      </w:r>
      <w:r w:rsidR="000E42B1" w:rsidRPr="00F139B0">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 xml:space="preserve">A measuring device which is accurately calibrated by the equipment manufacturer to display the number of gallons of </w:t>
      </w:r>
      <w:proofErr w:type="spellStart"/>
      <w:r w:rsidRPr="00F139B0">
        <w:rPr>
          <w:rFonts w:ascii="Calibri" w:hAnsi="Calibri" w:cs="Calibri"/>
          <w:i/>
          <w:color w:val="2E74B5" w:themeColor="accent1" w:themeShade="BF"/>
          <w:sz w:val="22"/>
          <w:szCs w:val="22"/>
        </w:rPr>
        <w:t>termiticide</w:t>
      </w:r>
      <w:proofErr w:type="spellEnd"/>
      <w:r w:rsidRPr="00F139B0">
        <w:rPr>
          <w:rFonts w:ascii="Calibri" w:hAnsi="Calibri" w:cs="Calibri"/>
          <w:i/>
          <w:color w:val="2E74B5" w:themeColor="accent1" w:themeShade="BF"/>
          <w:sz w:val="22"/>
          <w:szCs w:val="22"/>
        </w:rPr>
        <w:t xml:space="preserve"> dispensed pursuant to</w:t>
      </w:r>
      <w:r w:rsidRPr="00F139B0">
        <w:rPr>
          <w:rStyle w:val="apple-converted-space"/>
          <w:rFonts w:ascii="Calibri" w:hAnsi="Calibri" w:cs="Calibri"/>
          <w:i/>
          <w:color w:val="2E74B5" w:themeColor="accent1" w:themeShade="BF"/>
          <w:sz w:val="22"/>
          <w:szCs w:val="22"/>
        </w:rPr>
        <w:t> </w:t>
      </w:r>
      <w:hyperlink r:id="rId18" w:anchor="NAC555Sec410" w:history="1">
        <w:r w:rsidRPr="00F139B0">
          <w:rPr>
            <w:rStyle w:val="Hyperlink"/>
            <w:rFonts w:ascii="Calibri" w:hAnsi="Calibri" w:cs="Calibri"/>
            <w:i/>
            <w:color w:val="2E74B5" w:themeColor="accent1" w:themeShade="BF"/>
            <w:sz w:val="22"/>
            <w:szCs w:val="22"/>
          </w:rPr>
          <w:t>NAC 555.410</w:t>
        </w:r>
      </w:hyperlink>
      <w:r w:rsidRPr="00F139B0">
        <w:rPr>
          <w:rFonts w:ascii="Calibri" w:hAnsi="Calibri" w:cs="Calibri"/>
          <w:i/>
          <w:color w:val="2E74B5" w:themeColor="accent1" w:themeShade="BF"/>
          <w:sz w:val="22"/>
          <w:szCs w:val="22"/>
        </w:rPr>
        <w:t>,</w:t>
      </w:r>
      <w:r w:rsidRPr="00F139B0">
        <w:rPr>
          <w:rStyle w:val="apple-converted-space"/>
          <w:rFonts w:ascii="Calibri" w:hAnsi="Calibri" w:cs="Calibri"/>
          <w:i/>
          <w:color w:val="2E74B5" w:themeColor="accent1" w:themeShade="BF"/>
          <w:sz w:val="22"/>
          <w:szCs w:val="22"/>
        </w:rPr>
        <w:t> </w:t>
      </w:r>
      <w:hyperlink r:id="rId19" w:anchor="NAC555Sec428" w:history="1">
        <w:r w:rsidRPr="00F139B0">
          <w:rPr>
            <w:rStyle w:val="Hyperlink"/>
            <w:rFonts w:ascii="Calibri" w:hAnsi="Calibri" w:cs="Calibri"/>
            <w:i/>
            <w:color w:val="2E74B5" w:themeColor="accent1" w:themeShade="BF"/>
            <w:sz w:val="22"/>
            <w:szCs w:val="22"/>
          </w:rPr>
          <w:t>555.428</w:t>
        </w:r>
      </w:hyperlink>
      <w:r w:rsidRPr="00F139B0">
        <w:rPr>
          <w:rStyle w:val="apple-converted-space"/>
          <w:rFonts w:ascii="Calibri" w:hAnsi="Calibri" w:cs="Calibri"/>
          <w:i/>
          <w:color w:val="2E74B5" w:themeColor="accent1" w:themeShade="BF"/>
          <w:sz w:val="22"/>
          <w:szCs w:val="22"/>
        </w:rPr>
        <w:t> </w:t>
      </w:r>
      <w:r w:rsidRPr="00F139B0">
        <w:rPr>
          <w:rFonts w:ascii="Calibri" w:hAnsi="Calibri" w:cs="Calibri"/>
          <w:i/>
          <w:color w:val="2E74B5" w:themeColor="accent1" w:themeShade="BF"/>
          <w:sz w:val="22"/>
          <w:szCs w:val="22"/>
        </w:rPr>
        <w:t>and</w:t>
      </w:r>
      <w:r w:rsidRPr="00F139B0">
        <w:rPr>
          <w:rStyle w:val="apple-converted-space"/>
          <w:rFonts w:ascii="Calibri" w:hAnsi="Calibri" w:cs="Calibri"/>
          <w:i/>
          <w:color w:val="2E74B5" w:themeColor="accent1" w:themeShade="BF"/>
          <w:sz w:val="22"/>
          <w:szCs w:val="22"/>
        </w:rPr>
        <w:t> </w:t>
      </w:r>
      <w:hyperlink r:id="rId20" w:anchor="NAC555Sec700" w:history="1">
        <w:r w:rsidRPr="00F139B0">
          <w:rPr>
            <w:rStyle w:val="Hyperlink"/>
            <w:rFonts w:ascii="Calibri" w:hAnsi="Calibri" w:cs="Calibri"/>
            <w:i/>
            <w:color w:val="2E74B5" w:themeColor="accent1" w:themeShade="BF"/>
            <w:sz w:val="22"/>
            <w:szCs w:val="22"/>
          </w:rPr>
          <w:t>555.700</w:t>
        </w:r>
      </w:hyperlink>
      <w:r w:rsidRPr="00F139B0">
        <w:rPr>
          <w:rFonts w:ascii="Calibri" w:hAnsi="Calibri" w:cs="Calibri"/>
          <w:i/>
          <w:color w:val="2E74B5" w:themeColor="accent1" w:themeShade="BF"/>
          <w:sz w:val="22"/>
          <w:szCs w:val="22"/>
        </w:rPr>
        <w:t>.</w:t>
      </w:r>
    </w:p>
    <w:p w14:paraId="6E62C578" w14:textId="2974AF16" w:rsidR="00E9081E" w:rsidRPr="005A73E4" w:rsidRDefault="004B6B56" w:rsidP="005A73E4">
      <w:pPr>
        <w:pStyle w:val="nacsource"/>
        <w:spacing w:before="0" w:beforeAutospacing="0" w:after="24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[Dep’t of Agriculture, part No. 55.34, eff. 6-1-59; A 7-1-69; 5-22-72; + part No. 55.37, eff. 8-1-74; A 1-17-77] — (NAC A 2-5-82; R033-01, 5-1-2002; R062-10, 1-13-2011)</w:t>
      </w:r>
    </w:p>
    <w:p w14:paraId="1EC95596" w14:textId="7858F08D" w:rsidR="00DD1A10" w:rsidRPr="002E4AA4" w:rsidRDefault="00CC30A8" w:rsidP="007A4A8C">
      <w:pPr>
        <w:pStyle w:val="ListParagraph"/>
        <w:numPr>
          <w:ilvl w:val="0"/>
          <w:numId w:val="1"/>
        </w:numPr>
        <w:spacing w:after="0"/>
        <w:rPr>
          <w:rFonts w:ascii="Calibri" w:hAnsi="Calibri" w:cs="Calibri"/>
          <w:color w:val="2E74B5" w:themeColor="accent1" w:themeShade="BF"/>
        </w:rPr>
      </w:pPr>
      <w:r w:rsidRPr="002E4AA4">
        <w:rPr>
          <w:rFonts w:ascii="Calibri" w:hAnsi="Calibri" w:cs="Calibri"/>
          <w:color w:val="2E74B5" w:themeColor="accent1" w:themeShade="BF"/>
        </w:rPr>
        <w:t xml:space="preserve">Additional information (cost of implementation, priority according to the recommendations, </w:t>
      </w:r>
      <w:proofErr w:type="spellStart"/>
      <w:r w:rsidRPr="002E4AA4">
        <w:rPr>
          <w:rFonts w:ascii="Calibri" w:hAnsi="Calibri" w:cs="Calibri"/>
          <w:color w:val="2E74B5" w:themeColor="accent1" w:themeShade="BF"/>
        </w:rPr>
        <w:t>etc</w:t>
      </w:r>
      <w:proofErr w:type="spellEnd"/>
      <w:r w:rsidRPr="002E4AA4">
        <w:rPr>
          <w:rFonts w:ascii="Calibri" w:hAnsi="Calibri" w:cs="Calibri"/>
          <w:color w:val="2E74B5" w:themeColor="accent1" w:themeShade="BF"/>
        </w:rPr>
        <w:t>)</w:t>
      </w:r>
      <w:r w:rsidR="00B70E4E" w:rsidRPr="002E4AA4">
        <w:rPr>
          <w:rFonts w:ascii="Calibri" w:hAnsi="Calibri" w:cs="Calibri"/>
          <w:color w:val="2E74B5" w:themeColor="accent1" w:themeShade="BF"/>
        </w:rPr>
        <w:t>.</w:t>
      </w:r>
    </w:p>
    <w:p w14:paraId="7DE9817F" w14:textId="77777777" w:rsidR="005E4230" w:rsidRPr="002E4AA4" w:rsidRDefault="005E4230" w:rsidP="005E4230">
      <w:pPr>
        <w:spacing w:after="0"/>
        <w:rPr>
          <w:rFonts w:ascii="Calibri" w:hAnsi="Calibri" w:cs="Calibri"/>
          <w:color w:val="2E74B5" w:themeColor="accent1" w:themeShade="BF"/>
        </w:rPr>
      </w:pPr>
    </w:p>
    <w:p w14:paraId="747A611B" w14:textId="77777777" w:rsidR="002667A1" w:rsidRPr="00F139B0" w:rsidRDefault="002667A1" w:rsidP="00EA0A87">
      <w:pPr>
        <w:ind w:firstLine="720"/>
        <w:rPr>
          <w:b/>
          <w:i/>
          <w:color w:val="2E74B5" w:themeColor="accent1" w:themeShade="BF"/>
          <w:sz w:val="24"/>
          <w:szCs w:val="24"/>
        </w:rPr>
      </w:pPr>
      <w:r w:rsidRPr="00F139B0">
        <w:rPr>
          <w:b/>
          <w:i/>
          <w:color w:val="2E74B5" w:themeColor="accent1" w:themeShade="BF"/>
          <w:sz w:val="24"/>
          <w:szCs w:val="24"/>
        </w:rPr>
        <w:t>Following is an estimate based on the Colorado funding requirements;</w:t>
      </w:r>
    </w:p>
    <w:p w14:paraId="4192BD4D" w14:textId="65E3DFF5" w:rsidR="00826089" w:rsidRPr="00826089" w:rsidRDefault="00826089" w:rsidP="00826089">
      <w:pPr>
        <w:pStyle w:val="NoSpacing"/>
        <w:ind w:left="360" w:firstLine="360"/>
        <w:rPr>
          <w:rFonts w:ascii="Calibri" w:hAnsi="Calibri" w:cs="Calibri"/>
          <w:i/>
          <w:color w:val="2E74B5" w:themeColor="accent1" w:themeShade="BF"/>
        </w:rPr>
      </w:pPr>
      <w:r w:rsidRPr="00F139B0">
        <w:rPr>
          <w:rFonts w:ascii="Calibri" w:hAnsi="Calibri" w:cs="Calibri"/>
          <w:i/>
          <w:color w:val="2E74B5" w:themeColor="accent1" w:themeShade="BF"/>
        </w:rPr>
        <w:t>Example staffing and equipment: Colorado Department of Agriculture added 14 FTEs</w:t>
      </w:r>
    </w:p>
    <w:p w14:paraId="15EC3AED" w14:textId="77777777" w:rsidR="002667A1" w:rsidRPr="00F139B0" w:rsidRDefault="002667A1" w:rsidP="00EA0A87">
      <w:pPr>
        <w:pStyle w:val="NoSpacing"/>
        <w:ind w:firstLine="720"/>
        <w:rPr>
          <w:rFonts w:ascii="Calibri" w:hAnsi="Calibri" w:cs="Calibri"/>
          <w:b/>
          <w:i/>
          <w:color w:val="2E74B5" w:themeColor="accent1" w:themeShade="BF"/>
        </w:rPr>
      </w:pPr>
      <w:r w:rsidRPr="00F139B0">
        <w:rPr>
          <w:rFonts w:ascii="Calibri" w:hAnsi="Calibri" w:cs="Calibri"/>
          <w:b/>
          <w:i/>
          <w:color w:val="2E74B5" w:themeColor="accent1" w:themeShade="BF"/>
        </w:rPr>
        <w:t>Calculations estimates for staffing, equipment and revenue</w:t>
      </w:r>
    </w:p>
    <w:p w14:paraId="0ACB33A9" w14:textId="77777777" w:rsidR="002667A1" w:rsidRPr="00F139B0" w:rsidRDefault="002667A1" w:rsidP="00EA0A87">
      <w:pPr>
        <w:pStyle w:val="NoSpacing"/>
        <w:numPr>
          <w:ilvl w:val="0"/>
          <w:numId w:val="3"/>
        </w:numPr>
        <w:ind w:left="1080"/>
        <w:rPr>
          <w:rFonts w:ascii="Calibri" w:hAnsi="Calibri" w:cs="Calibri"/>
          <w:i/>
          <w:color w:val="2E74B5" w:themeColor="accent1" w:themeShade="BF"/>
        </w:rPr>
      </w:pPr>
      <w:r w:rsidRPr="00F139B0">
        <w:rPr>
          <w:rFonts w:ascii="Calibri" w:hAnsi="Calibri" w:cs="Calibri"/>
          <w:i/>
          <w:color w:val="2E74B5" w:themeColor="accent1" w:themeShade="BF"/>
        </w:rPr>
        <w:t xml:space="preserve">Three investigation specialists </w:t>
      </w:r>
    </w:p>
    <w:p w14:paraId="3089846E" w14:textId="77777777" w:rsidR="002667A1" w:rsidRPr="00F139B0" w:rsidRDefault="002667A1" w:rsidP="00EA0A87">
      <w:pPr>
        <w:pStyle w:val="NoSpacing"/>
        <w:numPr>
          <w:ilvl w:val="0"/>
          <w:numId w:val="3"/>
        </w:numPr>
        <w:ind w:left="1080"/>
        <w:rPr>
          <w:rFonts w:ascii="Calibri" w:hAnsi="Calibri" w:cs="Calibri"/>
          <w:i/>
          <w:color w:val="2E74B5" w:themeColor="accent1" w:themeShade="BF"/>
        </w:rPr>
      </w:pPr>
      <w:r w:rsidRPr="00F139B0">
        <w:rPr>
          <w:rFonts w:ascii="Calibri" w:hAnsi="Calibri" w:cs="Calibri"/>
          <w:i/>
          <w:color w:val="2E74B5" w:themeColor="accent1" w:themeShade="BF"/>
        </w:rPr>
        <w:t>Nine inspectors </w:t>
      </w:r>
    </w:p>
    <w:p w14:paraId="26AA45FB" w14:textId="77777777" w:rsidR="002667A1" w:rsidRPr="00F139B0" w:rsidRDefault="002667A1" w:rsidP="00EA0A87">
      <w:pPr>
        <w:pStyle w:val="NoSpacing"/>
        <w:numPr>
          <w:ilvl w:val="0"/>
          <w:numId w:val="3"/>
        </w:numPr>
        <w:ind w:left="1080"/>
        <w:rPr>
          <w:rFonts w:ascii="Calibri" w:hAnsi="Calibri" w:cs="Calibri"/>
          <w:i/>
          <w:color w:val="2E74B5" w:themeColor="accent1" w:themeShade="BF"/>
        </w:rPr>
      </w:pPr>
      <w:r w:rsidRPr="00F139B0">
        <w:rPr>
          <w:rFonts w:ascii="Calibri" w:hAnsi="Calibri" w:cs="Calibri"/>
          <w:i/>
          <w:color w:val="2E74B5" w:themeColor="accent1" w:themeShade="BF"/>
        </w:rPr>
        <w:t xml:space="preserve">One cannabis education specialist </w:t>
      </w:r>
    </w:p>
    <w:p w14:paraId="6D4B75BD" w14:textId="77777777" w:rsidR="002667A1" w:rsidRPr="00F139B0" w:rsidRDefault="002667A1" w:rsidP="00EA0A87">
      <w:pPr>
        <w:pStyle w:val="NoSpacing"/>
        <w:numPr>
          <w:ilvl w:val="0"/>
          <w:numId w:val="3"/>
        </w:numPr>
        <w:ind w:left="1080"/>
        <w:rPr>
          <w:rFonts w:ascii="Calibri" w:hAnsi="Calibri" w:cs="Calibri"/>
          <w:i/>
          <w:color w:val="2E74B5" w:themeColor="accent1" w:themeShade="BF"/>
        </w:rPr>
      </w:pPr>
      <w:r w:rsidRPr="00F139B0">
        <w:rPr>
          <w:rFonts w:ascii="Calibri" w:hAnsi="Calibri" w:cs="Calibri"/>
          <w:i/>
          <w:color w:val="2E74B5" w:themeColor="accent1" w:themeShade="BF"/>
        </w:rPr>
        <w:t>One chemist</w:t>
      </w:r>
    </w:p>
    <w:p w14:paraId="02F0BF69" w14:textId="77777777" w:rsidR="002667A1" w:rsidRPr="00F139B0" w:rsidRDefault="002667A1" w:rsidP="00EA0A87">
      <w:pPr>
        <w:pStyle w:val="NoSpacing"/>
        <w:numPr>
          <w:ilvl w:val="0"/>
          <w:numId w:val="3"/>
        </w:numPr>
        <w:ind w:left="1080"/>
        <w:rPr>
          <w:rFonts w:ascii="Calibri" w:hAnsi="Calibri" w:cs="Calibri"/>
          <w:i/>
          <w:color w:val="2E74B5" w:themeColor="accent1" w:themeShade="BF"/>
        </w:rPr>
      </w:pPr>
      <w:r w:rsidRPr="00F139B0">
        <w:rPr>
          <w:rFonts w:ascii="Calibri" w:hAnsi="Calibri" w:cs="Calibri"/>
          <w:i/>
          <w:color w:val="2E74B5" w:themeColor="accent1" w:themeShade="BF"/>
        </w:rPr>
        <w:t xml:space="preserve">Obtained $860,000 in additional lab equipment </w:t>
      </w:r>
    </w:p>
    <w:p w14:paraId="68EBDA69" w14:textId="77777777" w:rsidR="002667A1" w:rsidRPr="00F139B0" w:rsidRDefault="002667A1" w:rsidP="00EA0A87">
      <w:pPr>
        <w:pStyle w:val="NoSpacing"/>
        <w:numPr>
          <w:ilvl w:val="0"/>
          <w:numId w:val="3"/>
        </w:numPr>
        <w:ind w:left="1080"/>
        <w:rPr>
          <w:rFonts w:ascii="Calibri" w:hAnsi="Calibri" w:cs="Calibri"/>
          <w:i/>
          <w:color w:val="2E74B5" w:themeColor="accent1" w:themeShade="BF"/>
        </w:rPr>
      </w:pPr>
      <w:r w:rsidRPr="00F139B0">
        <w:rPr>
          <w:rFonts w:ascii="Calibri" w:hAnsi="Calibri" w:cs="Calibri"/>
          <w:i/>
          <w:color w:val="2E74B5" w:themeColor="accent1" w:themeShade="BF"/>
        </w:rPr>
        <w:t>Added $337,000 to legal services budget</w:t>
      </w:r>
    </w:p>
    <w:p w14:paraId="3B26E1FD" w14:textId="77777777" w:rsidR="002667A1" w:rsidRPr="00F139B0" w:rsidRDefault="002667A1" w:rsidP="00EA0A87">
      <w:pPr>
        <w:pStyle w:val="NoSpacing"/>
        <w:numPr>
          <w:ilvl w:val="0"/>
          <w:numId w:val="3"/>
        </w:numPr>
        <w:ind w:left="1080"/>
        <w:rPr>
          <w:rFonts w:ascii="Calibri" w:hAnsi="Calibri" w:cs="Calibri"/>
          <w:i/>
          <w:color w:val="2E74B5" w:themeColor="accent1" w:themeShade="BF"/>
        </w:rPr>
      </w:pPr>
      <w:r w:rsidRPr="00F139B0">
        <w:rPr>
          <w:rFonts w:ascii="Calibri" w:hAnsi="Calibri" w:cs="Calibri"/>
          <w:i/>
          <w:color w:val="2E74B5" w:themeColor="accent1" w:themeShade="BF"/>
        </w:rPr>
        <w:t>Including operating, ~ $1.6 million this year</w:t>
      </w:r>
    </w:p>
    <w:p w14:paraId="5DB86A58" w14:textId="77777777" w:rsidR="002667A1" w:rsidRPr="00F139B0" w:rsidRDefault="002667A1" w:rsidP="00EA0A87">
      <w:pPr>
        <w:pStyle w:val="NoSpacing"/>
        <w:numPr>
          <w:ilvl w:val="0"/>
          <w:numId w:val="3"/>
        </w:numPr>
        <w:ind w:left="1080"/>
        <w:rPr>
          <w:rFonts w:ascii="Calibri" w:hAnsi="Calibri" w:cs="Calibri"/>
          <w:i/>
          <w:color w:val="2E74B5" w:themeColor="accent1" w:themeShade="BF"/>
        </w:rPr>
      </w:pPr>
      <w:r w:rsidRPr="00F139B0">
        <w:rPr>
          <w:rFonts w:ascii="Calibri" w:hAnsi="Calibri" w:cs="Calibri"/>
          <w:i/>
          <w:color w:val="2E74B5" w:themeColor="accent1" w:themeShade="BF"/>
        </w:rPr>
        <w:t xml:space="preserve">All paid for by marijuana sales tax </w:t>
      </w:r>
    </w:p>
    <w:p w14:paraId="06D49E18" w14:textId="77777777" w:rsidR="002667A1" w:rsidRPr="00F139B0" w:rsidRDefault="002667A1" w:rsidP="00EA0A87">
      <w:pPr>
        <w:pStyle w:val="NoSpacing"/>
        <w:ind w:left="360"/>
        <w:rPr>
          <w:rFonts w:ascii="Calibri" w:hAnsi="Calibri" w:cs="Calibri"/>
          <w:i/>
          <w:color w:val="2E74B5" w:themeColor="accent1" w:themeShade="BF"/>
        </w:rPr>
      </w:pPr>
    </w:p>
    <w:p w14:paraId="25C1B651" w14:textId="77777777" w:rsidR="002667A1" w:rsidRPr="00826089" w:rsidRDefault="002667A1" w:rsidP="00EA0A87">
      <w:pPr>
        <w:pStyle w:val="NoSpacing"/>
        <w:ind w:left="360" w:firstLine="360"/>
        <w:rPr>
          <w:rFonts w:ascii="Calibri" w:hAnsi="Calibri" w:cs="Calibri"/>
          <w:b/>
          <w:i/>
          <w:color w:val="2E74B5" w:themeColor="accent1" w:themeShade="BF"/>
          <w:sz w:val="24"/>
          <w:szCs w:val="24"/>
        </w:rPr>
      </w:pPr>
      <w:r w:rsidRPr="00826089">
        <w:rPr>
          <w:rFonts w:ascii="Calibri" w:hAnsi="Calibri" w:cs="Calibri"/>
          <w:b/>
          <w:i/>
          <w:color w:val="2E74B5" w:themeColor="accent1" w:themeShade="BF"/>
          <w:sz w:val="24"/>
          <w:szCs w:val="24"/>
        </w:rPr>
        <w:t>Nevada staffing and equipment estimates:</w:t>
      </w:r>
    </w:p>
    <w:p w14:paraId="137C12BA" w14:textId="77777777" w:rsidR="002667A1" w:rsidRPr="00F139B0" w:rsidRDefault="002667A1" w:rsidP="00EA0A87">
      <w:pPr>
        <w:pStyle w:val="NoSpacing"/>
        <w:numPr>
          <w:ilvl w:val="0"/>
          <w:numId w:val="4"/>
        </w:numPr>
        <w:ind w:left="1080"/>
        <w:rPr>
          <w:rFonts w:ascii="Calibri" w:hAnsi="Calibri" w:cs="Calibri"/>
          <w:i/>
          <w:color w:val="2E74B5" w:themeColor="accent1" w:themeShade="BF"/>
        </w:rPr>
      </w:pPr>
      <w:r w:rsidRPr="00F139B0">
        <w:rPr>
          <w:rFonts w:ascii="Calibri" w:hAnsi="Calibri" w:cs="Calibri"/>
          <w:i/>
          <w:color w:val="2E74B5" w:themeColor="accent1" w:themeShade="BF"/>
        </w:rPr>
        <w:t>Six inspectors</w:t>
      </w:r>
    </w:p>
    <w:p w14:paraId="19E7201F" w14:textId="77777777" w:rsidR="002667A1" w:rsidRPr="00F139B0" w:rsidRDefault="002667A1" w:rsidP="00EA0A87">
      <w:pPr>
        <w:pStyle w:val="NoSpacing"/>
        <w:numPr>
          <w:ilvl w:val="0"/>
          <w:numId w:val="4"/>
        </w:numPr>
        <w:ind w:left="1080"/>
        <w:rPr>
          <w:rFonts w:ascii="Calibri" w:hAnsi="Calibri" w:cs="Calibri"/>
          <w:i/>
          <w:color w:val="2E74B5" w:themeColor="accent1" w:themeShade="BF"/>
        </w:rPr>
      </w:pPr>
      <w:r w:rsidRPr="00F139B0">
        <w:rPr>
          <w:rFonts w:ascii="Calibri" w:hAnsi="Calibri" w:cs="Calibri"/>
          <w:i/>
          <w:color w:val="2E74B5" w:themeColor="accent1" w:themeShade="BF"/>
        </w:rPr>
        <w:t>One edu</w:t>
      </w:r>
      <w:bookmarkStart w:id="1" w:name="_GoBack"/>
      <w:bookmarkEnd w:id="1"/>
      <w:r w:rsidRPr="00F139B0">
        <w:rPr>
          <w:rFonts w:ascii="Calibri" w:hAnsi="Calibri" w:cs="Calibri"/>
          <w:i/>
          <w:color w:val="2E74B5" w:themeColor="accent1" w:themeShade="BF"/>
        </w:rPr>
        <w:t>cation specialist</w:t>
      </w:r>
    </w:p>
    <w:p w14:paraId="52C801BA" w14:textId="77777777" w:rsidR="002667A1" w:rsidRPr="00F139B0" w:rsidRDefault="002667A1" w:rsidP="00EA0A87">
      <w:pPr>
        <w:pStyle w:val="NoSpacing"/>
        <w:numPr>
          <w:ilvl w:val="0"/>
          <w:numId w:val="4"/>
        </w:numPr>
        <w:ind w:left="1080"/>
        <w:rPr>
          <w:rFonts w:ascii="Calibri" w:hAnsi="Calibri" w:cs="Calibri"/>
          <w:i/>
          <w:color w:val="2E74B5" w:themeColor="accent1" w:themeShade="BF"/>
        </w:rPr>
      </w:pPr>
      <w:r w:rsidRPr="00F139B0">
        <w:rPr>
          <w:rFonts w:ascii="Calibri" w:hAnsi="Calibri" w:cs="Calibri"/>
          <w:i/>
          <w:color w:val="2E74B5" w:themeColor="accent1" w:themeShade="BF"/>
        </w:rPr>
        <w:t>One program manager</w:t>
      </w:r>
    </w:p>
    <w:p w14:paraId="5DF72CD0" w14:textId="77777777" w:rsidR="002667A1" w:rsidRPr="00F139B0" w:rsidRDefault="002667A1" w:rsidP="00EA0A87">
      <w:pPr>
        <w:pStyle w:val="NoSpacing"/>
        <w:numPr>
          <w:ilvl w:val="0"/>
          <w:numId w:val="4"/>
        </w:numPr>
        <w:ind w:left="1080"/>
        <w:rPr>
          <w:rFonts w:ascii="Calibri" w:hAnsi="Calibri" w:cs="Calibri"/>
          <w:i/>
          <w:color w:val="2E74B5" w:themeColor="accent1" w:themeShade="BF"/>
        </w:rPr>
      </w:pPr>
      <w:r w:rsidRPr="00F139B0">
        <w:rPr>
          <w:rFonts w:ascii="Calibri" w:hAnsi="Calibri" w:cs="Calibri"/>
          <w:i/>
          <w:color w:val="2E74B5" w:themeColor="accent1" w:themeShade="BF"/>
        </w:rPr>
        <w:t>Lab equipment – $520,000</w:t>
      </w:r>
    </w:p>
    <w:p w14:paraId="071157DF" w14:textId="5AED48BA" w:rsidR="00CC30A8" w:rsidRPr="00F139B0" w:rsidRDefault="002667A1" w:rsidP="00EA0A87">
      <w:pPr>
        <w:pStyle w:val="NoSpacing"/>
        <w:numPr>
          <w:ilvl w:val="0"/>
          <w:numId w:val="4"/>
        </w:numPr>
        <w:ind w:left="1080"/>
        <w:rPr>
          <w:rFonts w:ascii="Calibri" w:hAnsi="Calibri" w:cs="Calibri"/>
          <w:i/>
          <w:color w:val="2E74B5" w:themeColor="accent1" w:themeShade="BF"/>
        </w:rPr>
      </w:pPr>
      <w:r w:rsidRPr="00F139B0">
        <w:rPr>
          <w:rFonts w:ascii="Calibri" w:hAnsi="Calibri" w:cs="Calibri"/>
          <w:i/>
          <w:color w:val="2E74B5" w:themeColor="accent1" w:themeShade="BF"/>
        </w:rPr>
        <w:t xml:space="preserve">The NDA proposes to provide the </w:t>
      </w:r>
      <w:r w:rsidRPr="00F139B0">
        <w:rPr>
          <w:rFonts w:ascii="Calibri" w:hAnsi="Calibri" w:cs="Calibri"/>
          <w:b/>
          <w:i/>
          <w:color w:val="2E74B5" w:themeColor="accent1" w:themeShade="BF"/>
        </w:rPr>
        <w:t>cultivation</w:t>
      </w:r>
      <w:r w:rsidRPr="00F139B0">
        <w:rPr>
          <w:rFonts w:ascii="Calibri" w:hAnsi="Calibri" w:cs="Calibri"/>
          <w:i/>
          <w:color w:val="2E74B5" w:themeColor="accent1" w:themeShade="BF"/>
        </w:rPr>
        <w:t xml:space="preserve">, </w:t>
      </w:r>
      <w:r w:rsidRPr="00F139B0">
        <w:rPr>
          <w:rFonts w:ascii="Calibri" w:hAnsi="Calibri" w:cs="Calibri"/>
          <w:b/>
          <w:i/>
          <w:color w:val="2E74B5" w:themeColor="accent1" w:themeShade="BF"/>
        </w:rPr>
        <w:t>proficiency testing</w:t>
      </w:r>
      <w:r w:rsidRPr="00F139B0">
        <w:rPr>
          <w:rFonts w:ascii="Calibri" w:hAnsi="Calibri" w:cs="Calibri"/>
          <w:i/>
          <w:color w:val="2E74B5" w:themeColor="accent1" w:themeShade="BF"/>
        </w:rPr>
        <w:t xml:space="preserve"> and </w:t>
      </w:r>
      <w:r w:rsidRPr="00F139B0">
        <w:rPr>
          <w:rFonts w:ascii="Calibri" w:hAnsi="Calibri" w:cs="Calibri"/>
          <w:b/>
          <w:i/>
          <w:color w:val="2E74B5" w:themeColor="accent1" w:themeShade="BF"/>
        </w:rPr>
        <w:t>other</w:t>
      </w:r>
      <w:r w:rsidRPr="00F139B0">
        <w:rPr>
          <w:rFonts w:ascii="Calibri" w:hAnsi="Calibri" w:cs="Calibri"/>
          <w:i/>
          <w:color w:val="2E74B5" w:themeColor="accent1" w:themeShade="BF"/>
        </w:rPr>
        <w:t xml:space="preserve"> </w:t>
      </w:r>
      <w:r w:rsidRPr="00F139B0">
        <w:rPr>
          <w:rFonts w:ascii="Calibri" w:hAnsi="Calibri" w:cs="Calibri"/>
          <w:b/>
          <w:i/>
          <w:color w:val="2E74B5" w:themeColor="accent1" w:themeShade="BF"/>
        </w:rPr>
        <w:t>testing</w:t>
      </w:r>
      <w:r w:rsidRPr="00F139B0">
        <w:rPr>
          <w:rFonts w:ascii="Calibri" w:hAnsi="Calibri" w:cs="Calibri"/>
          <w:i/>
          <w:color w:val="2E74B5" w:themeColor="accent1" w:themeShade="BF"/>
        </w:rPr>
        <w:t xml:space="preserve"> </w:t>
      </w:r>
      <w:r w:rsidRPr="00F139B0">
        <w:rPr>
          <w:rFonts w:ascii="Calibri" w:hAnsi="Calibri" w:cs="Calibri"/>
          <w:b/>
          <w:i/>
          <w:color w:val="2E74B5" w:themeColor="accent1" w:themeShade="BF"/>
        </w:rPr>
        <w:t>services</w:t>
      </w:r>
      <w:r w:rsidRPr="00F139B0">
        <w:rPr>
          <w:rFonts w:ascii="Calibri" w:hAnsi="Calibri" w:cs="Calibri"/>
          <w:i/>
          <w:color w:val="2E74B5" w:themeColor="accent1" w:themeShade="BF"/>
        </w:rPr>
        <w:t xml:space="preserve"> required in Section 2 of the Initiative, services which the Department of Taxation does not have in-house, by using 1 percent (leaving 14 percent as remaining revenue) of the excise tax imposed on the wholesale price of recreational marijuana sales.</w:t>
      </w:r>
    </w:p>
    <w:p w14:paraId="054A4F76" w14:textId="1D9B894B" w:rsidR="00753FA6" w:rsidRPr="00F139B0" w:rsidRDefault="00753FA6" w:rsidP="009201F4">
      <w:pPr>
        <w:spacing w:after="0"/>
        <w:ind w:left="810" w:hanging="90"/>
        <w:rPr>
          <w:rFonts w:ascii="Calibri" w:hAnsi="Calibri" w:cs="Calibri"/>
          <w:b/>
          <w:i/>
          <w:color w:val="2E74B5" w:themeColor="accent1" w:themeShade="BF"/>
        </w:rPr>
      </w:pPr>
    </w:p>
    <w:sectPr w:rsidR="00753FA6" w:rsidRPr="00F139B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DE0C9" w14:textId="77777777" w:rsidR="00CE734B" w:rsidRDefault="00CE734B" w:rsidP="00391997">
      <w:pPr>
        <w:spacing w:after="0" w:line="240" w:lineRule="auto"/>
      </w:pPr>
      <w:r>
        <w:separator/>
      </w:r>
    </w:p>
  </w:endnote>
  <w:endnote w:type="continuationSeparator" w:id="0">
    <w:p w14:paraId="68B30C32" w14:textId="77777777" w:rsidR="00CE734B" w:rsidRDefault="00CE734B"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1BBA96B5"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87D36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3A5F28">
      <w:rPr>
        <w:rFonts w:ascii="Calibri" w:eastAsia="Times New Roman" w:hAnsi="Calibri" w:cs="Times New Roman"/>
        <w:b/>
        <w:i/>
        <w:color w:val="3737A5"/>
        <w:sz w:val="16"/>
        <w:szCs w:val="16"/>
      </w:rPr>
      <w:t>Pesticide Application and Worker Protection Standards</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3A5F28">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CFC1E" w14:textId="77777777" w:rsidR="00CE734B" w:rsidRDefault="00CE734B" w:rsidP="00391997">
      <w:pPr>
        <w:spacing w:after="0" w:line="240" w:lineRule="auto"/>
      </w:pPr>
      <w:r>
        <w:separator/>
      </w:r>
    </w:p>
  </w:footnote>
  <w:footnote w:type="continuationSeparator" w:id="0">
    <w:p w14:paraId="6140CBD8" w14:textId="77777777" w:rsidR="00CE734B" w:rsidRDefault="00CE734B"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5EADD53" w:rsidR="00F43822" w:rsidRPr="00F43822" w:rsidRDefault="003A5F28" w:rsidP="008313F9">
    <w:pPr>
      <w:pStyle w:val="Heading2"/>
      <w:ind w:left="0"/>
      <w:jc w:val="center"/>
      <w:rPr>
        <w:sz w:val="22"/>
        <w:szCs w:val="22"/>
      </w:rPr>
    </w:pPr>
    <w:r>
      <w:rPr>
        <w:sz w:val="22"/>
        <w:szCs w:val="22"/>
      </w:rPr>
      <w:t>Pesticide Application and Worker Protection Standards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C31"/>
    <w:multiLevelType w:val="hybridMultilevel"/>
    <w:tmpl w:val="37F8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D26AA"/>
    <w:multiLevelType w:val="hybridMultilevel"/>
    <w:tmpl w:val="B888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E3596"/>
    <w:multiLevelType w:val="hybridMultilevel"/>
    <w:tmpl w:val="10340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336CF"/>
    <w:multiLevelType w:val="hybridMultilevel"/>
    <w:tmpl w:val="A04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51DE2"/>
    <w:rsid w:val="00060468"/>
    <w:rsid w:val="00081DBE"/>
    <w:rsid w:val="000A61D0"/>
    <w:rsid w:val="000B01A4"/>
    <w:rsid w:val="000E42B1"/>
    <w:rsid w:val="000E5A37"/>
    <w:rsid w:val="00114EF2"/>
    <w:rsid w:val="001866F9"/>
    <w:rsid w:val="00196158"/>
    <w:rsid w:val="001B0ADC"/>
    <w:rsid w:val="001B10FF"/>
    <w:rsid w:val="001D54F0"/>
    <w:rsid w:val="00202E4C"/>
    <w:rsid w:val="0023729A"/>
    <w:rsid w:val="00250973"/>
    <w:rsid w:val="002667A1"/>
    <w:rsid w:val="002A2329"/>
    <w:rsid w:val="002D271F"/>
    <w:rsid w:val="002E4AA4"/>
    <w:rsid w:val="002E62FD"/>
    <w:rsid w:val="002F5B96"/>
    <w:rsid w:val="002F5BE6"/>
    <w:rsid w:val="003110FB"/>
    <w:rsid w:val="00311848"/>
    <w:rsid w:val="00391997"/>
    <w:rsid w:val="003A5F28"/>
    <w:rsid w:val="003D371C"/>
    <w:rsid w:val="003E257A"/>
    <w:rsid w:val="004039AB"/>
    <w:rsid w:val="004128B0"/>
    <w:rsid w:val="00435662"/>
    <w:rsid w:val="00442A3F"/>
    <w:rsid w:val="00462786"/>
    <w:rsid w:val="004B6B56"/>
    <w:rsid w:val="004E482C"/>
    <w:rsid w:val="005043DB"/>
    <w:rsid w:val="005509F6"/>
    <w:rsid w:val="00554796"/>
    <w:rsid w:val="00565923"/>
    <w:rsid w:val="005803ED"/>
    <w:rsid w:val="00592887"/>
    <w:rsid w:val="005A73E4"/>
    <w:rsid w:val="005B3C6C"/>
    <w:rsid w:val="005E102D"/>
    <w:rsid w:val="005E4230"/>
    <w:rsid w:val="005F3F7E"/>
    <w:rsid w:val="00610DCA"/>
    <w:rsid w:val="00623820"/>
    <w:rsid w:val="006562B7"/>
    <w:rsid w:val="00670BDD"/>
    <w:rsid w:val="0067592A"/>
    <w:rsid w:val="006A2E92"/>
    <w:rsid w:val="006B0A7E"/>
    <w:rsid w:val="006C69D1"/>
    <w:rsid w:val="006D0501"/>
    <w:rsid w:val="006D4662"/>
    <w:rsid w:val="00700DCA"/>
    <w:rsid w:val="00753FA6"/>
    <w:rsid w:val="00755B09"/>
    <w:rsid w:val="007746E2"/>
    <w:rsid w:val="00774894"/>
    <w:rsid w:val="007765FD"/>
    <w:rsid w:val="00777932"/>
    <w:rsid w:val="00784921"/>
    <w:rsid w:val="00786840"/>
    <w:rsid w:val="0079300A"/>
    <w:rsid w:val="007A4A8C"/>
    <w:rsid w:val="007B1260"/>
    <w:rsid w:val="007E5090"/>
    <w:rsid w:val="00822B37"/>
    <w:rsid w:val="00826089"/>
    <w:rsid w:val="008313F9"/>
    <w:rsid w:val="00854295"/>
    <w:rsid w:val="00882EE9"/>
    <w:rsid w:val="008C13D7"/>
    <w:rsid w:val="008D5094"/>
    <w:rsid w:val="008F0634"/>
    <w:rsid w:val="008F0885"/>
    <w:rsid w:val="009139D9"/>
    <w:rsid w:val="009201F4"/>
    <w:rsid w:val="009264B2"/>
    <w:rsid w:val="00957E83"/>
    <w:rsid w:val="00961D8A"/>
    <w:rsid w:val="009805E6"/>
    <w:rsid w:val="00996A51"/>
    <w:rsid w:val="009D1938"/>
    <w:rsid w:val="009F522B"/>
    <w:rsid w:val="00A312E6"/>
    <w:rsid w:val="00A65F54"/>
    <w:rsid w:val="00A72E9B"/>
    <w:rsid w:val="00AB11E7"/>
    <w:rsid w:val="00AB71F7"/>
    <w:rsid w:val="00B11C15"/>
    <w:rsid w:val="00B70E4E"/>
    <w:rsid w:val="00BC0B03"/>
    <w:rsid w:val="00BC0F10"/>
    <w:rsid w:val="00BD11E0"/>
    <w:rsid w:val="00BF6BBC"/>
    <w:rsid w:val="00CC196E"/>
    <w:rsid w:val="00CC30A8"/>
    <w:rsid w:val="00CE734B"/>
    <w:rsid w:val="00CE7AD0"/>
    <w:rsid w:val="00D15932"/>
    <w:rsid w:val="00D22E65"/>
    <w:rsid w:val="00D6241D"/>
    <w:rsid w:val="00D81328"/>
    <w:rsid w:val="00D84D2D"/>
    <w:rsid w:val="00D8569D"/>
    <w:rsid w:val="00D926ED"/>
    <w:rsid w:val="00DA287B"/>
    <w:rsid w:val="00DC4C91"/>
    <w:rsid w:val="00DD1A10"/>
    <w:rsid w:val="00DE0ABD"/>
    <w:rsid w:val="00DE697A"/>
    <w:rsid w:val="00E00635"/>
    <w:rsid w:val="00E02DC5"/>
    <w:rsid w:val="00E41DFB"/>
    <w:rsid w:val="00E74D39"/>
    <w:rsid w:val="00E9081E"/>
    <w:rsid w:val="00E96CEA"/>
    <w:rsid w:val="00EA0A87"/>
    <w:rsid w:val="00EA782F"/>
    <w:rsid w:val="00EC03A5"/>
    <w:rsid w:val="00EF1453"/>
    <w:rsid w:val="00F046BC"/>
    <w:rsid w:val="00F139B0"/>
    <w:rsid w:val="00F27CF2"/>
    <w:rsid w:val="00F43822"/>
    <w:rsid w:val="00F944B2"/>
    <w:rsid w:val="00FA7232"/>
    <w:rsid w:val="00FA7D3B"/>
    <w:rsid w:val="00FC1FA5"/>
    <w:rsid w:val="00FC216D"/>
    <w:rsid w:val="00FF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2F5B96"/>
  </w:style>
  <w:style w:type="paragraph" w:styleId="NoSpacing">
    <w:name w:val="No Spacing"/>
    <w:uiPriority w:val="1"/>
    <w:qFormat/>
    <w:rsid w:val="00E00635"/>
    <w:pPr>
      <w:spacing w:after="0" w:line="240" w:lineRule="auto"/>
    </w:pPr>
  </w:style>
  <w:style w:type="paragraph" w:customStyle="1" w:styleId="nacbody">
    <w:name w:val="nacbody"/>
    <w:basedOn w:val="Normal"/>
    <w:rsid w:val="004B6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B6B56"/>
  </w:style>
  <w:style w:type="character" w:customStyle="1" w:styleId="empty">
    <w:name w:val="empty"/>
    <w:basedOn w:val="DefaultParagraphFont"/>
    <w:rsid w:val="004B6B56"/>
  </w:style>
  <w:style w:type="character" w:customStyle="1" w:styleId="naclead">
    <w:name w:val="naclead"/>
    <w:basedOn w:val="DefaultParagraphFont"/>
    <w:rsid w:val="004B6B56"/>
  </w:style>
  <w:style w:type="character" w:customStyle="1" w:styleId="nrsauthority">
    <w:name w:val="nrsauthority"/>
    <w:basedOn w:val="DefaultParagraphFont"/>
    <w:rsid w:val="004B6B56"/>
  </w:style>
  <w:style w:type="paragraph" w:customStyle="1" w:styleId="nacsource">
    <w:name w:val="nacsource"/>
    <w:basedOn w:val="Normal"/>
    <w:rsid w:val="004B6B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2F5B96"/>
  </w:style>
  <w:style w:type="paragraph" w:styleId="NoSpacing">
    <w:name w:val="No Spacing"/>
    <w:uiPriority w:val="1"/>
    <w:qFormat/>
    <w:rsid w:val="00E00635"/>
    <w:pPr>
      <w:spacing w:after="0" w:line="240" w:lineRule="auto"/>
    </w:pPr>
  </w:style>
  <w:style w:type="paragraph" w:customStyle="1" w:styleId="nacbody">
    <w:name w:val="nacbody"/>
    <w:basedOn w:val="Normal"/>
    <w:rsid w:val="004B6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B6B56"/>
  </w:style>
  <w:style w:type="character" w:customStyle="1" w:styleId="empty">
    <w:name w:val="empty"/>
    <w:basedOn w:val="DefaultParagraphFont"/>
    <w:rsid w:val="004B6B56"/>
  </w:style>
  <w:style w:type="character" w:customStyle="1" w:styleId="naclead">
    <w:name w:val="naclead"/>
    <w:basedOn w:val="DefaultParagraphFont"/>
    <w:rsid w:val="004B6B56"/>
  </w:style>
  <w:style w:type="character" w:customStyle="1" w:styleId="nrsauthority">
    <w:name w:val="nrsauthority"/>
    <w:basedOn w:val="DefaultParagraphFont"/>
    <w:rsid w:val="004B6B56"/>
  </w:style>
  <w:style w:type="paragraph" w:customStyle="1" w:styleId="nacsource">
    <w:name w:val="nacsource"/>
    <w:basedOn w:val="Normal"/>
    <w:rsid w:val="004B6B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nv.us/NRS/NRS-555.html" TargetMode="External"/><Relationship Id="rId18" Type="http://schemas.openxmlformats.org/officeDocument/2006/relationships/hyperlink" Target="http://www.leg.state.nv.us/nac/nac-555.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eg.state.nv.us/nac/nac-453a.html" TargetMode="External"/><Relationship Id="rId17" Type="http://schemas.openxmlformats.org/officeDocument/2006/relationships/hyperlink" Target="http://www.leg.state.nv.us/nac/nac-555.html" TargetMode="External"/><Relationship Id="rId2" Type="http://schemas.openxmlformats.org/officeDocument/2006/relationships/numbering" Target="numbering.xml"/><Relationship Id="rId16" Type="http://schemas.openxmlformats.org/officeDocument/2006/relationships/hyperlink" Target="http://www.leg.state.nv.us/nac/nac-555.html" TargetMode="External"/><Relationship Id="rId20" Type="http://schemas.openxmlformats.org/officeDocument/2006/relationships/hyperlink" Target="http://www.leg.state.nv.us/nac/nac-55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state.nv.us/NRS/NRS-453A.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state.nv.us/nac/nac-555.html" TargetMode="External"/><Relationship Id="rId23" Type="http://schemas.openxmlformats.org/officeDocument/2006/relationships/fontTable" Target="fontTable.xml"/><Relationship Id="rId10" Type="http://schemas.openxmlformats.org/officeDocument/2006/relationships/hyperlink" Target="http://www.leg.state.nv.us/NRS/NRS-453A.html" TargetMode="External"/><Relationship Id="rId19" Type="http://schemas.openxmlformats.org/officeDocument/2006/relationships/hyperlink" Target="http://www.leg.state.nv.us/nac/nac-555.html" TargetMode="External"/><Relationship Id="rId4" Type="http://schemas.microsoft.com/office/2007/relationships/stylesWithEffects" Target="stylesWithEffects.xml"/><Relationship Id="rId9" Type="http://schemas.openxmlformats.org/officeDocument/2006/relationships/hyperlink" Target="http://www.leg.state.nv.us/NRS/NRS-453A.html" TargetMode="External"/><Relationship Id="rId14" Type="http://schemas.openxmlformats.org/officeDocument/2006/relationships/hyperlink" Target="http://www.leg.state.nv.us/NRS/NRS-555.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F3E8-0481-4710-A350-424F60EB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3</cp:revision>
  <cp:lastPrinted>2017-03-24T15:44:00Z</cp:lastPrinted>
  <dcterms:created xsi:type="dcterms:W3CDTF">2017-04-01T15:11:00Z</dcterms:created>
  <dcterms:modified xsi:type="dcterms:W3CDTF">2017-04-01T15:16:00Z</dcterms:modified>
</cp:coreProperties>
</file>